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13054" w14:textId="77777777" w:rsidR="00E902D0" w:rsidRPr="0038223D" w:rsidRDefault="00030997" w:rsidP="0038223D">
      <w:pPr>
        <w:pStyle w:val="Title2sl"/>
        <w:jc w:val="center"/>
        <w:rPr>
          <w:i/>
        </w:rPr>
      </w:pPr>
      <w:bookmarkStart w:id="0" w:name="_GoBack"/>
      <w:bookmarkEnd w:id="0"/>
      <w:r>
        <w:rPr>
          <w:i/>
        </w:rPr>
        <w:t>Maryland-National Capital Park and Planning Commission</w:t>
      </w:r>
      <w:r w:rsidR="009B15C3" w:rsidRPr="0038223D">
        <w:rPr>
          <w:i/>
        </w:rPr>
        <w:t xml:space="preserve"> v. American Humanist Association</w:t>
      </w:r>
    </w:p>
    <w:p w14:paraId="5A37CC46" w14:textId="77777777" w:rsidR="00E902D0" w:rsidRPr="00D57724" w:rsidRDefault="009B15C3" w:rsidP="00E902D0">
      <w:pPr>
        <w:pStyle w:val="Basiccopycenteredsl"/>
      </w:pPr>
      <w:r>
        <w:t>To Be Argued</w:t>
      </w:r>
      <w:r w:rsidR="00E902D0" w:rsidRPr="00D57724">
        <w:t>:</w:t>
      </w:r>
      <w:r w:rsidR="00E902D0">
        <w:t xml:space="preserve"> </w:t>
      </w:r>
      <w:r w:rsidR="00552B5B" w:rsidRPr="00552B5B">
        <w:t>February 27, 2018</w:t>
      </w:r>
    </w:p>
    <w:p w14:paraId="29A47764" w14:textId="77777777" w:rsidR="00E902D0" w:rsidRDefault="00E902D0" w:rsidP="00E902D0">
      <w:pPr>
        <w:pStyle w:val="Subhead2sl"/>
      </w:pPr>
      <w:r w:rsidRPr="00D57724">
        <w:t>Background</w:t>
      </w:r>
    </w:p>
    <w:p w14:paraId="258508A1" w14:textId="77777777" w:rsidR="001E3BD5" w:rsidRPr="000B52BC" w:rsidRDefault="000B52BC" w:rsidP="0038223D">
      <w:pPr>
        <w:pStyle w:val="Basiccopysl"/>
        <w:spacing w:line="276" w:lineRule="auto"/>
        <w:rPr>
          <w:b/>
          <w:i/>
        </w:rPr>
      </w:pPr>
      <w:r>
        <w:t xml:space="preserve">The Establishment Clause of the First Amendment </w:t>
      </w:r>
      <w:r w:rsidR="00F94459">
        <w:t xml:space="preserve">prohibits </w:t>
      </w:r>
      <w:r w:rsidR="00380C20">
        <w:t>state or federal governments from setting up churches, passing laws aiding one or all religions, or favoring one religion over another. The First Amendment is said by some to create a “wall of separation between church and state”</w:t>
      </w:r>
      <w:r w:rsidR="00843682" w:rsidRPr="0038223D">
        <w:t>—</w:t>
      </w:r>
      <w:r w:rsidR="00380C20">
        <w:t>but the wall is not complete. Religious institutions are aided by government in many ways</w:t>
      </w:r>
      <w:r w:rsidR="00F94459">
        <w:t>,</w:t>
      </w:r>
      <w:r w:rsidR="00380C20">
        <w:t xml:space="preserve"> including fire and police protection and an exemption from paying taxes. In addition</w:t>
      </w:r>
      <w:r w:rsidR="006C32DA">
        <w:t>,</w:t>
      </w:r>
      <w:r w:rsidR="00380C20">
        <w:t xml:space="preserve"> the First Amendment’s Free Exercise Clause protects religious expression and practice. Taken together, the First Amendment prohibits endorsement of religion and protects </w:t>
      </w:r>
      <w:r w:rsidR="00B11994">
        <w:t xml:space="preserve">against government interference with </w:t>
      </w:r>
      <w:r w:rsidR="00380C20">
        <w:t xml:space="preserve">religious beliefs and practices. Some say the government must be neutral when it comes to religion. But as many court cases have shown, regulating how government and religion interact in the U.S. has been very difficult. The Supreme Court has used a variety of “tests” to analyze </w:t>
      </w:r>
      <w:r w:rsidR="00B11994">
        <w:t>E</w:t>
      </w:r>
      <w:r w:rsidR="00380C20">
        <w:t xml:space="preserve">stablishment </w:t>
      </w:r>
      <w:r w:rsidR="00B11994">
        <w:t>C</w:t>
      </w:r>
      <w:r w:rsidR="00380C20">
        <w:t>lause cases</w:t>
      </w:r>
      <w:r w:rsidR="006C32DA">
        <w:t>. These tests were</w:t>
      </w:r>
      <w:r w:rsidR="00380C20">
        <w:t xml:space="preserve"> </w:t>
      </w:r>
      <w:r w:rsidR="00EF2A23">
        <w:t xml:space="preserve">created by </w:t>
      </w:r>
      <w:r w:rsidR="004A0601">
        <w:t xml:space="preserve">and used in </w:t>
      </w:r>
      <w:r w:rsidR="00380C20">
        <w:t xml:space="preserve">some of the most important precedents </w:t>
      </w:r>
      <w:r w:rsidR="006C32DA" w:rsidRPr="003C0929">
        <w:rPr>
          <w:i/>
        </w:rPr>
        <w:t>(see Precedents section)</w:t>
      </w:r>
      <w:r w:rsidR="00380C20">
        <w:t>.</w:t>
      </w:r>
      <w:r w:rsidR="00137863">
        <w:t xml:space="preserve"> </w:t>
      </w:r>
    </w:p>
    <w:p w14:paraId="7BA8BF08" w14:textId="77777777" w:rsidR="00F355A5" w:rsidRDefault="00E902D0" w:rsidP="0038223D">
      <w:pPr>
        <w:pStyle w:val="Subhead2sl"/>
      </w:pPr>
      <w:r w:rsidRPr="00D57724">
        <w:t>Facts</w:t>
      </w:r>
    </w:p>
    <w:p w14:paraId="13B59F1A" w14:textId="681A41AD" w:rsidR="005D62A2" w:rsidRPr="00F355A5" w:rsidRDefault="001E3BD5" w:rsidP="0038223D">
      <w:pPr>
        <w:pStyle w:val="Basiccopysl"/>
        <w:spacing w:line="276" w:lineRule="auto"/>
      </w:pPr>
      <w:r w:rsidRPr="009865D7">
        <w:t>Bladensburg</w:t>
      </w:r>
      <w:r>
        <w:t>, Maryland</w:t>
      </w:r>
      <w:r w:rsidR="00843682" w:rsidRPr="0038223D">
        <w:t>,</w:t>
      </w:r>
      <w:r>
        <w:t xml:space="preserve"> is home to a 93-year-old, 40</w:t>
      </w:r>
      <w:r w:rsidR="00843682" w:rsidRPr="0038223D">
        <w:t>-</w:t>
      </w:r>
      <w:r>
        <w:t>foot</w:t>
      </w:r>
      <w:r w:rsidR="00843682" w:rsidRPr="0038223D">
        <w:t>-</w:t>
      </w:r>
      <w:r>
        <w:t>tall cross that is located prominently in</w:t>
      </w:r>
      <w:r w:rsidR="00D14879">
        <w:t xml:space="preserve"> the center of</w:t>
      </w:r>
      <w:r>
        <w:t xml:space="preserve"> a traffic cir</w:t>
      </w:r>
      <w:r w:rsidR="00700A1C">
        <w:t xml:space="preserve">cle </w:t>
      </w:r>
      <w:r w:rsidR="00380C20">
        <w:t>where several major roads meet</w:t>
      </w:r>
      <w:r w:rsidR="00700A1C">
        <w:t>.</w:t>
      </w:r>
      <w:r>
        <w:t xml:space="preserve"> </w:t>
      </w:r>
      <w:r w:rsidR="00885C2D" w:rsidRPr="00885C2D">
        <w:t xml:space="preserve">The cross is known as the Bladensburg Cross or the Peace Cross. It </w:t>
      </w:r>
      <w:r>
        <w:t>serves as a memorial for fallen W</w:t>
      </w:r>
      <w:r w:rsidR="00137863">
        <w:t xml:space="preserve">orld </w:t>
      </w:r>
      <w:r>
        <w:t>W</w:t>
      </w:r>
      <w:r w:rsidR="00137863">
        <w:t xml:space="preserve">ar </w:t>
      </w:r>
      <w:r>
        <w:t>I soldiers</w:t>
      </w:r>
      <w:r w:rsidR="006C32DA">
        <w:t>,</w:t>
      </w:r>
      <w:r w:rsidR="0031399C">
        <w:t xml:space="preserve"> including 49</w:t>
      </w:r>
      <w:r>
        <w:t xml:space="preserve"> from Prince George’s County</w:t>
      </w:r>
      <w:r w:rsidR="00843682" w:rsidRPr="0038223D">
        <w:t>, Maryland,</w:t>
      </w:r>
      <w:r>
        <w:t xml:space="preserve"> and </w:t>
      </w:r>
      <w:r w:rsidR="00843682" w:rsidRPr="0038223D">
        <w:t xml:space="preserve">it </w:t>
      </w:r>
      <w:r>
        <w:t xml:space="preserve">bears a plaque </w:t>
      </w:r>
      <w:r w:rsidR="005D62A2">
        <w:t>listing the names of the soldiers on one side</w:t>
      </w:r>
      <w:r>
        <w:t xml:space="preserve">. </w:t>
      </w:r>
      <w:r w:rsidR="005D62A2">
        <w:t>The base of the monument is inscribed with the words “valor,” “endurance,” “courage,” and “devotion.”</w:t>
      </w:r>
      <w:r w:rsidR="00700A1C">
        <w:t xml:space="preserve"> </w:t>
      </w:r>
      <w:r w:rsidR="005D62A2">
        <w:t>The monument is located in Veteran Memorial Park</w:t>
      </w:r>
      <w:r w:rsidR="00843682" w:rsidRPr="0038223D">
        <w:t xml:space="preserve">, </w:t>
      </w:r>
      <w:r w:rsidR="005D62A2">
        <w:t xml:space="preserve">which has </w:t>
      </w:r>
      <w:r w:rsidR="00865DEC">
        <w:t>four</w:t>
      </w:r>
      <w:r w:rsidR="00A47C81">
        <w:t xml:space="preserve"> other</w:t>
      </w:r>
      <w:r w:rsidR="00865DEC">
        <w:t xml:space="preserve"> </w:t>
      </w:r>
      <w:r w:rsidR="005D62A2">
        <w:t>memorials honor</w:t>
      </w:r>
      <w:r w:rsidR="00865DEC">
        <w:t>ing</w:t>
      </w:r>
      <w:r w:rsidR="00E03EC5">
        <w:t xml:space="preserve"> veterans of several wars</w:t>
      </w:r>
      <w:r w:rsidR="00865DEC">
        <w:t xml:space="preserve"> and two soldier cut-outs (</w:t>
      </w:r>
      <w:r w:rsidR="00885C2D">
        <w:t xml:space="preserve">each </w:t>
      </w:r>
      <w:r w:rsidR="00865DEC">
        <w:t xml:space="preserve">approximately </w:t>
      </w:r>
      <w:r w:rsidR="00885C2D">
        <w:t>five</w:t>
      </w:r>
      <w:r w:rsidR="00865DEC">
        <w:t>-feet-tall) situated atop poles</w:t>
      </w:r>
      <w:r w:rsidR="00380C20">
        <w:t>.</w:t>
      </w:r>
      <w:r w:rsidR="00E03EC5">
        <w:t xml:space="preserve"> </w:t>
      </w:r>
      <w:r w:rsidR="00EF76E3">
        <w:t>T</w:t>
      </w:r>
      <w:r w:rsidR="005D62A2">
        <w:t xml:space="preserve">he other monuments are located at least 200 feet away </w:t>
      </w:r>
      <w:r w:rsidR="00380C20">
        <w:t xml:space="preserve">from the cross and </w:t>
      </w:r>
      <w:r w:rsidR="00E03EC5">
        <w:t xml:space="preserve">across the street </w:t>
      </w:r>
      <w:r w:rsidR="005D62A2">
        <w:t xml:space="preserve">from the </w:t>
      </w:r>
      <w:r w:rsidR="00380C20">
        <w:t>traffic circle</w:t>
      </w:r>
      <w:r w:rsidR="00F94459">
        <w:t>,</w:t>
      </w:r>
      <w:r w:rsidR="00226B31">
        <w:t xml:space="preserve"> where t</w:t>
      </w:r>
      <w:r w:rsidR="00380C20">
        <w:t>he cross sits alone</w:t>
      </w:r>
      <w:r w:rsidR="006C32DA">
        <w:t xml:space="preserve"> </w:t>
      </w:r>
      <w:r w:rsidR="006C32DA" w:rsidRPr="003C0929">
        <w:rPr>
          <w:i/>
        </w:rPr>
        <w:t xml:space="preserve">(see </w:t>
      </w:r>
      <w:r w:rsidR="00054DFF">
        <w:rPr>
          <w:i/>
        </w:rPr>
        <w:t xml:space="preserve">attachment </w:t>
      </w:r>
      <w:r w:rsidR="006C32DA" w:rsidRPr="003C0929">
        <w:rPr>
          <w:i/>
        </w:rPr>
        <w:t xml:space="preserve">for a photo of the </w:t>
      </w:r>
      <w:r w:rsidR="00EF76E3" w:rsidRPr="003C0929">
        <w:rPr>
          <w:i/>
        </w:rPr>
        <w:t>cross</w:t>
      </w:r>
      <w:r w:rsidR="006C32DA" w:rsidRPr="003C0929">
        <w:rPr>
          <w:i/>
        </w:rPr>
        <w:t>)</w:t>
      </w:r>
      <w:r w:rsidR="00EF76E3">
        <w:t>.</w:t>
      </w:r>
      <w:r w:rsidR="00C53C59">
        <w:t xml:space="preserve"> The first of these monuments commemorating fallen soldiers from World War II was approved in the 1940s</w:t>
      </w:r>
      <w:r w:rsidR="00FE13C1">
        <w:t xml:space="preserve"> (</w:t>
      </w:r>
      <w:r w:rsidR="00885C2D">
        <w:t>20</w:t>
      </w:r>
      <w:r w:rsidR="00FE13C1">
        <w:t xml:space="preserve"> years after the </w:t>
      </w:r>
      <w:r w:rsidR="00885C2D">
        <w:t>c</w:t>
      </w:r>
      <w:r w:rsidR="00FE13C1">
        <w:t>ross)</w:t>
      </w:r>
      <w:r w:rsidR="00885C2D">
        <w:t xml:space="preserve">. The most </w:t>
      </w:r>
      <w:r w:rsidR="00C53C59">
        <w:t>recent</w:t>
      </w:r>
      <w:r w:rsidR="00885C2D">
        <w:t xml:space="preserve"> monument was added</w:t>
      </w:r>
      <w:r w:rsidR="00C53C59">
        <w:t xml:space="preserve"> in 2014</w:t>
      </w:r>
      <w:r w:rsidR="00885C2D">
        <w:t>,</w:t>
      </w:r>
      <w:r w:rsidR="00C53C59">
        <w:t xml:space="preserve"> after litigation</w:t>
      </w:r>
      <w:r w:rsidR="00885C2D">
        <w:t xml:space="preserve"> regarding the cross</w:t>
      </w:r>
      <w:r w:rsidR="00C53C59">
        <w:t xml:space="preserve"> began.</w:t>
      </w:r>
    </w:p>
    <w:p w14:paraId="39A57266" w14:textId="77777777" w:rsidR="003E28F8" w:rsidRPr="0038223D" w:rsidRDefault="00843682" w:rsidP="0038223D">
      <w:pPr>
        <w:pStyle w:val="Basiccopysl"/>
        <w:spacing w:line="276" w:lineRule="auto"/>
      </w:pPr>
      <w:r w:rsidRPr="0038223D">
        <w:t>When construction of the monument began in 1918, t</w:t>
      </w:r>
      <w:r w:rsidR="005D62A2">
        <w:t>he city of Bladensburg owned the land</w:t>
      </w:r>
      <w:r w:rsidRPr="0038223D">
        <w:t>. In 1961, o</w:t>
      </w:r>
      <w:r w:rsidR="005D62A2">
        <w:t>wnership was transferred to the Maryland-National Capital Park and Planning Commission</w:t>
      </w:r>
      <w:r w:rsidRPr="0038223D">
        <w:t xml:space="preserve">. </w:t>
      </w:r>
      <w:r w:rsidR="00380C20">
        <w:t xml:space="preserve">The </w:t>
      </w:r>
      <w:r w:rsidRPr="0038223D">
        <w:t>C</w:t>
      </w:r>
      <w:r w:rsidR="00380C20">
        <w:t>ommission is</w:t>
      </w:r>
      <w:r w:rsidR="005D62A2">
        <w:t xml:space="preserve"> part of Maryland</w:t>
      </w:r>
      <w:r w:rsidR="00380C20">
        <w:t>’s state</w:t>
      </w:r>
      <w:r w:rsidR="005D62A2">
        <w:t xml:space="preserve"> government. </w:t>
      </w:r>
      <w:r w:rsidR="00CD6733">
        <w:t xml:space="preserve">Since </w:t>
      </w:r>
      <w:r w:rsidR="00B11994">
        <w:t>1961</w:t>
      </w:r>
      <w:r w:rsidR="00CD6733">
        <w:t>, the C</w:t>
      </w:r>
      <w:r w:rsidR="005D62A2">
        <w:t>ommission has spent approximately $117,000 on repairs and maintenance</w:t>
      </w:r>
      <w:r w:rsidR="00B11994">
        <w:t xml:space="preserve"> of the cross.</w:t>
      </w:r>
      <w:r w:rsidR="005D62A2">
        <w:t xml:space="preserve"> The </w:t>
      </w:r>
      <w:r w:rsidR="00226B31">
        <w:t>monument</w:t>
      </w:r>
      <w:r w:rsidR="005D62A2">
        <w:t xml:space="preserve"> is aging and weathered, so an</w:t>
      </w:r>
      <w:r w:rsidR="00CD6733">
        <w:t xml:space="preserve"> additional $100,000 was</w:t>
      </w:r>
      <w:r w:rsidR="005D62A2">
        <w:t xml:space="preserve"> </w:t>
      </w:r>
      <w:r w:rsidR="00CD6733">
        <w:t xml:space="preserve">reserved for </w:t>
      </w:r>
      <w:r w:rsidR="005D62A2">
        <w:t>renovation costs</w:t>
      </w:r>
      <w:r w:rsidR="00030997">
        <w:t xml:space="preserve"> in 2008</w:t>
      </w:r>
      <w:r w:rsidR="005D62A2">
        <w:t xml:space="preserve">.  </w:t>
      </w:r>
    </w:p>
    <w:p w14:paraId="1B22979C" w14:textId="58159FD3" w:rsidR="005B5776" w:rsidRPr="0038223D" w:rsidRDefault="003E28F8" w:rsidP="0038223D">
      <w:pPr>
        <w:pStyle w:val="Basiccopysl"/>
        <w:spacing w:line="276" w:lineRule="auto"/>
      </w:pPr>
      <w:r>
        <w:lastRenderedPageBreak/>
        <w:t>Three non-Christian</w:t>
      </w:r>
      <w:r w:rsidR="00CD6733">
        <w:t xml:space="preserve"> county</w:t>
      </w:r>
      <w:r>
        <w:t xml:space="preserve"> residents</w:t>
      </w:r>
      <w:r w:rsidR="00380C20">
        <w:t xml:space="preserve"> </w:t>
      </w:r>
      <w:r w:rsidR="00030997">
        <w:t xml:space="preserve">who belong to the American Humanist Association </w:t>
      </w:r>
      <w:r w:rsidR="00380C20">
        <w:t xml:space="preserve">sued </w:t>
      </w:r>
      <w:r w:rsidR="00030997">
        <w:t xml:space="preserve">the Maryland government agency </w:t>
      </w:r>
      <w:r w:rsidR="00380C20">
        <w:t>in federal court</w:t>
      </w:r>
      <w:r w:rsidR="006C32DA">
        <w:t xml:space="preserve">. They argue </w:t>
      </w:r>
      <w:r>
        <w:t xml:space="preserve">that the cross monument is </w:t>
      </w:r>
      <w:r w:rsidR="00E03EC5">
        <w:t xml:space="preserve">offensive </w:t>
      </w:r>
      <w:r w:rsidR="00B11994">
        <w:t xml:space="preserve">to them </w:t>
      </w:r>
      <w:r w:rsidR="00E03EC5">
        <w:t xml:space="preserve">and </w:t>
      </w:r>
      <w:r w:rsidR="00843682" w:rsidRPr="0038223D">
        <w:t xml:space="preserve">is </w:t>
      </w:r>
      <w:r>
        <w:t xml:space="preserve">a government endorsement of religion because the </w:t>
      </w:r>
      <w:r w:rsidR="00885C2D">
        <w:t xml:space="preserve">Latin </w:t>
      </w:r>
      <w:r>
        <w:t xml:space="preserve">cross is a clearly identifiable symbol of </w:t>
      </w:r>
      <w:r w:rsidR="00700A1C">
        <w:t xml:space="preserve">Christianity. </w:t>
      </w:r>
      <w:r w:rsidR="00380C20">
        <w:t xml:space="preserve">The </w:t>
      </w:r>
      <w:r w:rsidR="00843682" w:rsidRPr="0038223D">
        <w:t xml:space="preserve">federal </w:t>
      </w:r>
      <w:r w:rsidR="00380C20">
        <w:t xml:space="preserve">trial court ruled </w:t>
      </w:r>
      <w:r w:rsidR="00030997">
        <w:t xml:space="preserve">in favor of the government and </w:t>
      </w:r>
      <w:r w:rsidR="00380C20">
        <w:t>against the residents</w:t>
      </w:r>
      <w:r w:rsidR="0038223D" w:rsidRPr="0038223D">
        <w:t>. Then t</w:t>
      </w:r>
      <w:r w:rsidR="00380C20">
        <w:t xml:space="preserve">he </w:t>
      </w:r>
      <w:r w:rsidR="0038223D" w:rsidRPr="0038223D">
        <w:t>C</w:t>
      </w:r>
      <w:r w:rsidR="0038223D">
        <w:t xml:space="preserve">ourt </w:t>
      </w:r>
      <w:r w:rsidR="00380C20">
        <w:t xml:space="preserve">of </w:t>
      </w:r>
      <w:r w:rsidR="0038223D" w:rsidRPr="0038223D">
        <w:t>A</w:t>
      </w:r>
      <w:r w:rsidR="00380C20">
        <w:t xml:space="preserve">ppeals reversed, ruling that </w:t>
      </w:r>
      <w:r w:rsidR="0038223D" w:rsidRPr="0038223D">
        <w:t xml:space="preserve">the </w:t>
      </w:r>
      <w:r w:rsidR="00380C20">
        <w:t>government’s display and maint</w:t>
      </w:r>
      <w:r w:rsidR="0038223D" w:rsidRPr="0038223D">
        <w:t xml:space="preserve">enance of the </w:t>
      </w:r>
      <w:r w:rsidR="00380C20">
        <w:t>cross did violate the residents’ First Amendment rights. The government appealed that decision</w:t>
      </w:r>
      <w:r w:rsidR="0038223D" w:rsidRPr="0038223D">
        <w:t>,</w:t>
      </w:r>
      <w:r w:rsidR="00380C20">
        <w:t xml:space="preserve"> and the Supreme Court agreed to hear the case.</w:t>
      </w:r>
      <w:r>
        <w:t xml:space="preserve"> </w:t>
      </w:r>
    </w:p>
    <w:p w14:paraId="191F0C5F" w14:textId="77777777" w:rsidR="00E902D0" w:rsidRDefault="00E902D0" w:rsidP="0038223D">
      <w:pPr>
        <w:pStyle w:val="Subhead2sl"/>
      </w:pPr>
      <w:r w:rsidRPr="00D57724">
        <w:t>Issue</w:t>
      </w:r>
    </w:p>
    <w:p w14:paraId="572A640A" w14:textId="77777777" w:rsidR="0048302B" w:rsidRPr="0038223D" w:rsidRDefault="0038223D" w:rsidP="0038223D">
      <w:pPr>
        <w:pStyle w:val="Basiccopysl"/>
        <w:spacing w:line="276" w:lineRule="auto"/>
      </w:pPr>
      <w:r w:rsidRPr="0038223D">
        <w:t xml:space="preserve">Does a </w:t>
      </w:r>
      <w:r w:rsidR="003E28F8">
        <w:t>local government</w:t>
      </w:r>
      <w:r w:rsidRPr="0038223D">
        <w:t>’s d</w:t>
      </w:r>
      <w:r w:rsidR="003E28F8">
        <w:t>isplay and maint</w:t>
      </w:r>
      <w:r w:rsidRPr="0038223D">
        <w:t xml:space="preserve">enance of </w:t>
      </w:r>
      <w:r w:rsidR="00030997">
        <w:t>a 40-foot t</w:t>
      </w:r>
      <w:r w:rsidR="003E28F8">
        <w:t>all Latin cross</w:t>
      </w:r>
      <w:r w:rsidRPr="0038223D">
        <w:t xml:space="preserve"> on public property</w:t>
      </w:r>
      <w:r w:rsidR="003E28F8">
        <w:t xml:space="preserve">, established in memory of </w:t>
      </w:r>
      <w:r w:rsidRPr="0038223D">
        <w:t xml:space="preserve">fallen World War I </w:t>
      </w:r>
      <w:r w:rsidR="003E28F8">
        <w:t>soldiers</w:t>
      </w:r>
      <w:r w:rsidRPr="0038223D">
        <w:t>, violate the First Amendment’s Establishment Clause</w:t>
      </w:r>
      <w:r w:rsidR="003E28F8">
        <w:t>?</w:t>
      </w:r>
    </w:p>
    <w:p w14:paraId="104CB112" w14:textId="77777777" w:rsidR="00E902D0" w:rsidRPr="00D57724" w:rsidRDefault="00E902D0" w:rsidP="00E902D0">
      <w:pPr>
        <w:pStyle w:val="Subhead2sl"/>
      </w:pPr>
      <w:r w:rsidRPr="00D57724">
        <w:t xml:space="preserve">Constitutional Amendments and </w:t>
      </w:r>
      <w:r w:rsidR="0038223D">
        <w:t xml:space="preserve">Supreme Court </w:t>
      </w:r>
      <w:r w:rsidRPr="00D57724">
        <w:t>Precedents</w:t>
      </w:r>
    </w:p>
    <w:p w14:paraId="6931C66B" w14:textId="77777777" w:rsidR="00E902D0" w:rsidRPr="00E902D0" w:rsidRDefault="009B15C3" w:rsidP="0038223D">
      <w:pPr>
        <w:pStyle w:val="Bulletsl"/>
        <w:spacing w:before="240"/>
        <w:rPr>
          <w:b/>
        </w:rPr>
      </w:pPr>
      <w:r>
        <w:rPr>
          <w:b/>
        </w:rPr>
        <w:t>First</w:t>
      </w:r>
      <w:r w:rsidR="00E902D0" w:rsidRPr="00E902D0">
        <w:rPr>
          <w:b/>
        </w:rPr>
        <w:t xml:space="preserve"> Amendment</w:t>
      </w:r>
      <w:r w:rsidR="0038223D">
        <w:rPr>
          <w:b/>
        </w:rPr>
        <w:t xml:space="preserve"> to the U.S. Constitution</w:t>
      </w:r>
    </w:p>
    <w:p w14:paraId="3595F0A1" w14:textId="77777777" w:rsidR="00C65B4F" w:rsidRPr="00D57724" w:rsidRDefault="00E902D0" w:rsidP="0038223D">
      <w:pPr>
        <w:pStyle w:val="Basiccopysl"/>
        <w:spacing w:line="276" w:lineRule="auto"/>
        <w:ind w:left="720"/>
      </w:pPr>
      <w:r w:rsidRPr="00D57724">
        <w:t>“</w:t>
      </w:r>
      <w:r w:rsidR="009B15C3">
        <w:t>Congress shall make no law respecting an establishment of religion, or prohibiting the free exercise thereof</w:t>
      </w:r>
      <w:r w:rsidR="0038223D">
        <w:t>.</w:t>
      </w:r>
      <w:r w:rsidR="009B15C3">
        <w:t>”</w:t>
      </w:r>
    </w:p>
    <w:p w14:paraId="543D30B2" w14:textId="77777777" w:rsidR="007435CA" w:rsidRPr="00616770" w:rsidRDefault="007435CA" w:rsidP="0038223D">
      <w:pPr>
        <w:pStyle w:val="Bulletsl"/>
        <w:spacing w:before="240"/>
        <w:rPr>
          <w:b/>
        </w:rPr>
      </w:pPr>
      <w:r w:rsidRPr="00030997">
        <w:rPr>
          <w:b/>
          <w:i/>
        </w:rPr>
        <w:t>Lemon v. Kurtzman</w:t>
      </w:r>
      <w:r w:rsidRPr="00616770">
        <w:rPr>
          <w:b/>
        </w:rPr>
        <w:t xml:space="preserve"> (1971)</w:t>
      </w:r>
    </w:p>
    <w:p w14:paraId="4A81FF32" w14:textId="77777777" w:rsidR="00B11994" w:rsidRPr="0038223D" w:rsidRDefault="00380C20" w:rsidP="00030997">
      <w:pPr>
        <w:pStyle w:val="Basiccopysl"/>
        <w:spacing w:line="276" w:lineRule="auto"/>
        <w:ind w:left="720"/>
      </w:pPr>
      <w:r>
        <w:t>In this case</w:t>
      </w:r>
      <w:r w:rsidR="0038223D">
        <w:t>,</w:t>
      </w:r>
      <w:r>
        <w:t xml:space="preserve"> the Supreme Court set out a three</w:t>
      </w:r>
      <w:r w:rsidR="0038223D">
        <w:t>-</w:t>
      </w:r>
      <w:r>
        <w:t>prong</w:t>
      </w:r>
      <w:r w:rsidR="004A0601">
        <w:t>ed</w:t>
      </w:r>
      <w:r>
        <w:t xml:space="preserve"> test</w:t>
      </w:r>
      <w:r w:rsidR="003A6D7F">
        <w:t>,</w:t>
      </w:r>
      <w:r w:rsidR="004A0601">
        <w:t xml:space="preserve"> referred to as the “Lemon Test</w:t>
      </w:r>
      <w:r>
        <w:t>.</w:t>
      </w:r>
      <w:r w:rsidR="004A0601">
        <w:t>”</w:t>
      </w:r>
      <w:r>
        <w:t xml:space="preserve"> Each p</w:t>
      </w:r>
      <w:r w:rsidR="003A6D7F">
        <w:t>art</w:t>
      </w:r>
      <w:r>
        <w:t xml:space="preserve"> must be </w:t>
      </w:r>
      <w:r w:rsidR="003A6D7F">
        <w:t xml:space="preserve">satisfied for governmental action to be permissible under </w:t>
      </w:r>
      <w:r>
        <w:t xml:space="preserve">the Establishment Clause. </w:t>
      </w:r>
      <w:r w:rsidRPr="0038223D">
        <w:t>1</w:t>
      </w:r>
      <w:r w:rsidR="0038223D" w:rsidRPr="0038223D">
        <w:t>)</w:t>
      </w:r>
      <w:r w:rsidR="0038223D">
        <w:t xml:space="preserve"> </w:t>
      </w:r>
      <w:r>
        <w:t xml:space="preserve">The challenged law or </w:t>
      </w:r>
      <w:r w:rsidR="003A6D7F">
        <w:t xml:space="preserve">official </w:t>
      </w:r>
      <w:r>
        <w:t>action must have a</w:t>
      </w:r>
      <w:r w:rsidR="003A6D7F">
        <w:t xml:space="preserve"> predominantly</w:t>
      </w:r>
      <w:r>
        <w:t xml:space="preserve"> </w:t>
      </w:r>
      <w:r w:rsidRPr="00030997">
        <w:rPr>
          <w:i/>
        </w:rPr>
        <w:t>secular</w:t>
      </w:r>
      <w:r w:rsidRPr="0038223D">
        <w:t xml:space="preserve"> </w:t>
      </w:r>
      <w:r>
        <w:t xml:space="preserve">(nonreligious) </w:t>
      </w:r>
      <w:r w:rsidRPr="0038223D">
        <w:rPr>
          <w:i/>
        </w:rPr>
        <w:t>purpose</w:t>
      </w:r>
      <w:r w:rsidR="0038223D" w:rsidRPr="0038223D">
        <w:t xml:space="preserve">. </w:t>
      </w:r>
      <w:r w:rsidRPr="0038223D">
        <w:t>2</w:t>
      </w:r>
      <w:r w:rsidR="0038223D" w:rsidRPr="0038223D">
        <w:t>)</w:t>
      </w:r>
      <w:r>
        <w:t xml:space="preserve"> The primary </w:t>
      </w:r>
      <w:r w:rsidRPr="0038223D">
        <w:rPr>
          <w:i/>
        </w:rPr>
        <w:t>effect</w:t>
      </w:r>
      <w:r w:rsidRPr="0038223D">
        <w:t xml:space="preserve"> </w:t>
      </w:r>
      <w:r>
        <w:t xml:space="preserve">of the law or action must </w:t>
      </w:r>
      <w:r w:rsidR="003A6D7F">
        <w:t xml:space="preserve">be </w:t>
      </w:r>
      <w:r>
        <w:t xml:space="preserve">neither </w:t>
      </w:r>
      <w:r w:rsidR="003A6D7F">
        <w:t xml:space="preserve">to </w:t>
      </w:r>
      <w:r>
        <w:t>advance no</w:t>
      </w:r>
      <w:r w:rsidR="00B11994">
        <w:t>r</w:t>
      </w:r>
      <w:r>
        <w:t xml:space="preserve"> </w:t>
      </w:r>
      <w:r w:rsidR="003A6D7F">
        <w:t>to inhibit</w:t>
      </w:r>
      <w:r>
        <w:t xml:space="preserve"> religion</w:t>
      </w:r>
      <w:r w:rsidR="0038223D">
        <w:t xml:space="preserve">. </w:t>
      </w:r>
      <w:r w:rsidRPr="0038223D">
        <w:t>3</w:t>
      </w:r>
      <w:r w:rsidR="0038223D" w:rsidRPr="0038223D">
        <w:t>)</w:t>
      </w:r>
      <w:r>
        <w:t xml:space="preserve"> The operation of the law or action must not foster excessive </w:t>
      </w:r>
      <w:r w:rsidRPr="0038223D">
        <w:rPr>
          <w:i/>
        </w:rPr>
        <w:t>entanglement</w:t>
      </w:r>
      <w:r>
        <w:t xml:space="preserve"> of government with religion. If any </w:t>
      </w:r>
      <w:r w:rsidR="003A6D7F">
        <w:t xml:space="preserve">of those requirements </w:t>
      </w:r>
      <w:r>
        <w:t>is not met, the law or action violates the Establishment Clause</w:t>
      </w:r>
      <w:r w:rsidR="004A0601">
        <w:t>.</w:t>
      </w:r>
    </w:p>
    <w:p w14:paraId="7827F588" w14:textId="77777777" w:rsidR="00485E62" w:rsidRPr="00E902D0" w:rsidRDefault="00485E62" w:rsidP="0038223D">
      <w:pPr>
        <w:pStyle w:val="Bulletsl"/>
        <w:spacing w:before="240"/>
        <w:rPr>
          <w:b/>
        </w:rPr>
      </w:pPr>
      <w:r w:rsidRPr="0038223D">
        <w:rPr>
          <w:b/>
          <w:i/>
        </w:rPr>
        <w:t>County of Allegheny v. American Civil Liberties Union</w:t>
      </w:r>
      <w:r w:rsidRPr="00E902D0">
        <w:rPr>
          <w:b/>
        </w:rPr>
        <w:t xml:space="preserve"> (</w:t>
      </w:r>
      <w:r>
        <w:rPr>
          <w:b/>
        </w:rPr>
        <w:t>1989</w:t>
      </w:r>
      <w:r w:rsidRPr="00E902D0">
        <w:rPr>
          <w:b/>
        </w:rPr>
        <w:t>)</w:t>
      </w:r>
    </w:p>
    <w:p w14:paraId="3003507A" w14:textId="77777777" w:rsidR="00571655" w:rsidRDefault="00571655" w:rsidP="0038223D">
      <w:pPr>
        <w:pStyle w:val="Basiccopysl"/>
        <w:spacing w:line="276" w:lineRule="auto"/>
        <w:ind w:left="720"/>
      </w:pPr>
      <w:r>
        <w:t>In this case</w:t>
      </w:r>
      <w:r w:rsidRPr="00A1052C">
        <w:t xml:space="preserve">, the Supreme Court ruled that a </w:t>
      </w:r>
      <w:r>
        <w:t xml:space="preserve">nativity </w:t>
      </w:r>
      <w:r w:rsidRPr="00A1052C">
        <w:t>display</w:t>
      </w:r>
      <w:r>
        <w:t xml:space="preserve"> in a county courthouse</w:t>
      </w:r>
      <w:r w:rsidRPr="00A1052C">
        <w:t xml:space="preserve"> was unconstitutional</w:t>
      </w:r>
      <w:r w:rsidRPr="0038223D">
        <w:t>.</w:t>
      </w:r>
      <w:r w:rsidRPr="00A1052C">
        <w:t xml:space="preserve"> </w:t>
      </w:r>
      <w:r>
        <w:t>The nativity scene was displayed alone and prominently said “</w:t>
      </w:r>
      <w:r w:rsidRPr="003A4F87">
        <w:t>Glory to God</w:t>
      </w:r>
      <w:r>
        <w:t xml:space="preserve"> for the birth of Jesus Christ.”</w:t>
      </w:r>
      <w:r w:rsidRPr="00A1052C">
        <w:t xml:space="preserve"> </w:t>
      </w:r>
      <w:r>
        <w:t>The</w:t>
      </w:r>
      <w:r w:rsidR="0038223D">
        <w:t xml:space="preserve"> Court </w:t>
      </w:r>
      <w:r>
        <w:t>decided that the nativity display affiliated the government with one specific faith (Christianity)</w:t>
      </w:r>
      <w:r w:rsidR="00380C20">
        <w:t xml:space="preserve"> and had the effect of advancing religion</w:t>
      </w:r>
      <w:r>
        <w:t xml:space="preserve">. </w:t>
      </w:r>
      <w:r w:rsidRPr="00A1052C">
        <w:t>The Court said that “history cannot legitimate practices that demonstrate the government</w:t>
      </w:r>
      <w:r w:rsidR="003A6D7F">
        <w:t>’</w:t>
      </w:r>
      <w:r w:rsidRPr="00A1052C">
        <w:t>s allegiance to a particular sect or creed.”</w:t>
      </w:r>
      <w:r>
        <w:t xml:space="preserve"> </w:t>
      </w:r>
    </w:p>
    <w:p w14:paraId="0A332BB8" w14:textId="77777777" w:rsidR="009B15C3" w:rsidRPr="0038223D" w:rsidRDefault="009B15C3" w:rsidP="003C0929">
      <w:pPr>
        <w:pStyle w:val="Bulletsl"/>
        <w:spacing w:before="240"/>
        <w:rPr>
          <w:b/>
          <w:i/>
        </w:rPr>
      </w:pPr>
      <w:r>
        <w:rPr>
          <w:b/>
          <w:i/>
        </w:rPr>
        <w:t>Van Orden v. Perry</w:t>
      </w:r>
      <w:r w:rsidRPr="0038223D">
        <w:rPr>
          <w:b/>
          <w:i/>
        </w:rPr>
        <w:t xml:space="preserve"> </w:t>
      </w:r>
      <w:r w:rsidR="00EF76E3" w:rsidRPr="003C0929">
        <w:rPr>
          <w:b/>
        </w:rPr>
        <w:t>and</w:t>
      </w:r>
      <w:r w:rsidR="00EF76E3">
        <w:rPr>
          <w:b/>
          <w:i/>
        </w:rPr>
        <w:t xml:space="preserve"> McCreary County v. ACLU of Kentucky </w:t>
      </w:r>
      <w:r w:rsidRPr="0038223D">
        <w:rPr>
          <w:b/>
        </w:rPr>
        <w:t>(2005)</w:t>
      </w:r>
    </w:p>
    <w:p w14:paraId="6820EBB0" w14:textId="77777777" w:rsidR="00380C20" w:rsidRDefault="00EF76E3" w:rsidP="00030997">
      <w:pPr>
        <w:pStyle w:val="Basiccopysl"/>
        <w:spacing w:line="276" w:lineRule="auto"/>
        <w:ind w:left="720"/>
      </w:pPr>
      <w:r>
        <w:t>These two cases were both decided on the same day. Each opinion was 5</w:t>
      </w:r>
      <w:r w:rsidR="003C0929">
        <w:t>–</w:t>
      </w:r>
      <w:r>
        <w:t xml:space="preserve">4. In </w:t>
      </w:r>
      <w:r w:rsidRPr="003C0929">
        <w:rPr>
          <w:i/>
        </w:rPr>
        <w:t>Van Orden,</w:t>
      </w:r>
      <w:r>
        <w:t xml:space="preserve"> </w:t>
      </w:r>
      <w:r w:rsidR="00380C20">
        <w:t>Texas was sued for displaying a Ten Commandments monument on the grounds of the state capitol</w:t>
      </w:r>
      <w:r w:rsidR="004F084B">
        <w:t>, along with 3</w:t>
      </w:r>
      <w:r w:rsidR="00697C4F">
        <w:t>8</w:t>
      </w:r>
      <w:r w:rsidR="004F084B">
        <w:t xml:space="preserve"> other historical monuments</w:t>
      </w:r>
      <w:r w:rsidR="00380C20">
        <w:t xml:space="preserve">. </w:t>
      </w:r>
      <w:r>
        <w:t>T</w:t>
      </w:r>
      <w:r w:rsidR="00380C20">
        <w:t xml:space="preserve">he </w:t>
      </w:r>
      <w:r w:rsidR="00B11994">
        <w:t>C</w:t>
      </w:r>
      <w:r w:rsidR="00380C20">
        <w:t>ourt ruled that</w:t>
      </w:r>
      <w:r w:rsidR="004F084B">
        <w:t xml:space="preserve">, in the context in </w:t>
      </w:r>
      <w:r w:rsidR="004F084B">
        <w:lastRenderedPageBreak/>
        <w:t>which it was displayed,</w:t>
      </w:r>
      <w:r w:rsidR="00380C20">
        <w:t xml:space="preserve"> the monument was part of the nation’s tradition of recognizing the Ten Commandments’ historical meaning</w:t>
      </w:r>
      <w:r w:rsidR="0038223D">
        <w:t>,</w:t>
      </w:r>
      <w:r w:rsidR="00380C20">
        <w:t xml:space="preserve"> and</w:t>
      </w:r>
      <w:r w:rsidR="0038223D">
        <w:t>,</w:t>
      </w:r>
      <w:r w:rsidR="00380C20">
        <w:t xml:space="preserve"> therefore</w:t>
      </w:r>
      <w:r w:rsidR="0038223D">
        <w:t>,</w:t>
      </w:r>
      <w:r w:rsidR="00380C20">
        <w:t xml:space="preserve"> its primary purpose was not religious.</w:t>
      </w:r>
      <w:r>
        <w:t xml:space="preserve"> According to the majority opinion, the display served a valid secular purpose and would not appear to a reasonable observer to represent a government endorsement of religion.</w:t>
      </w:r>
    </w:p>
    <w:p w14:paraId="51FEA178" w14:textId="77777777" w:rsidR="00266605" w:rsidRDefault="00266605" w:rsidP="00030997">
      <w:pPr>
        <w:pStyle w:val="Basiccopysl"/>
        <w:spacing w:line="276" w:lineRule="auto"/>
        <w:ind w:left="720"/>
      </w:pPr>
      <w:r w:rsidRPr="00386839">
        <w:t>“</w:t>
      </w:r>
      <w:r w:rsidR="00380C20">
        <w:t>S</w:t>
      </w:r>
      <w:r w:rsidRPr="00386839">
        <w:t>imply having religious content or promoting a message consistent with a religious doctrine does not run afoul of the Establishment Clause</w:t>
      </w:r>
      <w:r w:rsidR="0038223D">
        <w:t>,</w:t>
      </w:r>
      <w:r w:rsidRPr="00386839">
        <w:t>”</w:t>
      </w:r>
      <w:r w:rsidR="00380C20">
        <w:t xml:space="preserve"> according to the opinion.</w:t>
      </w:r>
      <w:r w:rsidRPr="00386839">
        <w:t xml:space="preserve"> </w:t>
      </w:r>
      <w:r>
        <w:t xml:space="preserve">Rather, the public considered the religious aspects of the tablets’ message a part of a broader moral and historical message reflective of </w:t>
      </w:r>
      <w:r w:rsidR="00B11994">
        <w:t xml:space="preserve">the nation’s </w:t>
      </w:r>
      <w:r>
        <w:t>cultural heritage.</w:t>
      </w:r>
    </w:p>
    <w:p w14:paraId="30854CF7" w14:textId="77777777" w:rsidR="00EF76E3" w:rsidRDefault="004672DA" w:rsidP="004672DA">
      <w:pPr>
        <w:pStyle w:val="Basiccopysl"/>
        <w:spacing w:line="276" w:lineRule="auto"/>
        <w:ind w:left="720"/>
      </w:pPr>
      <w:r>
        <w:t xml:space="preserve">In </w:t>
      </w:r>
      <w:r w:rsidR="00EF76E3" w:rsidRPr="003C2110">
        <w:rPr>
          <w:i/>
        </w:rPr>
        <w:t>McCreary</w:t>
      </w:r>
      <w:r w:rsidRPr="003C2110">
        <w:rPr>
          <w:i/>
        </w:rPr>
        <w:t>,</w:t>
      </w:r>
      <w:r>
        <w:t xml:space="preserve"> the </w:t>
      </w:r>
      <w:r w:rsidR="006A5D88">
        <w:t>American</w:t>
      </w:r>
      <w:r>
        <w:t xml:space="preserve"> Civil Liberties Union (ACLU) sued three Kentucky counties for displaying framed images of the Ten Commandments in schools and courthouses. The ACLU argued that </w:t>
      </w:r>
      <w:r w:rsidR="0093231D">
        <w:t>the displays were</w:t>
      </w:r>
      <w:r>
        <w:t xml:space="preserve"> violation</w:t>
      </w:r>
      <w:r w:rsidR="0093231D">
        <w:t>s</w:t>
      </w:r>
      <w:r>
        <w:t xml:space="preserve"> of the Establishment Clause. In another 5</w:t>
      </w:r>
      <w:r w:rsidR="003C0929">
        <w:t>–</w:t>
      </w:r>
      <w:r>
        <w:t>4 decision</w:t>
      </w:r>
      <w:r w:rsidR="006A5D88">
        <w:t>, but</w:t>
      </w:r>
      <w:r>
        <w:t xml:space="preserve"> seemingly at odds with </w:t>
      </w:r>
      <w:r w:rsidR="006A5D88">
        <w:t xml:space="preserve">the </w:t>
      </w:r>
      <w:r w:rsidRPr="006A5D88">
        <w:rPr>
          <w:i/>
        </w:rPr>
        <w:t>Van Orden</w:t>
      </w:r>
      <w:r w:rsidR="006A5D88" w:rsidRPr="006A5D88">
        <w:rPr>
          <w:i/>
        </w:rPr>
        <w:t xml:space="preserve"> </w:t>
      </w:r>
      <w:r w:rsidR="006A5D88">
        <w:t>decision</w:t>
      </w:r>
      <w:r>
        <w:t>, the Supreme Court found that the</w:t>
      </w:r>
      <w:r w:rsidR="00EF76E3">
        <w:t>se</w:t>
      </w:r>
      <w:r>
        <w:t xml:space="preserve"> displays did violate the Establishment Clause</w:t>
      </w:r>
      <w:r w:rsidR="006A5D88">
        <w:t xml:space="preserve"> noting</w:t>
      </w:r>
      <w:r>
        <w:t xml:space="preserve"> that the displays had the purpose of advancing religion</w:t>
      </w:r>
      <w:r w:rsidR="006D1382">
        <w:t xml:space="preserve">. The Court considered </w:t>
      </w:r>
      <w:r w:rsidR="00EF76E3">
        <w:t>that a reasonable observer of these displays would conclude that the government was endorsing religion.</w:t>
      </w:r>
    </w:p>
    <w:p w14:paraId="04E66771" w14:textId="77777777" w:rsidR="009B15C3" w:rsidRPr="0038223D" w:rsidRDefault="009B15C3" w:rsidP="003C0929">
      <w:pPr>
        <w:pStyle w:val="Bulletsl"/>
        <w:spacing w:before="240"/>
        <w:rPr>
          <w:b/>
          <w:i/>
        </w:rPr>
      </w:pPr>
      <w:r>
        <w:rPr>
          <w:b/>
          <w:i/>
        </w:rPr>
        <w:t>Town of Greece v. Galloway</w:t>
      </w:r>
      <w:r w:rsidRPr="0038223D">
        <w:rPr>
          <w:b/>
          <w:i/>
        </w:rPr>
        <w:t xml:space="preserve"> </w:t>
      </w:r>
      <w:r w:rsidRPr="0038223D">
        <w:rPr>
          <w:b/>
        </w:rPr>
        <w:t>(2014)</w:t>
      </w:r>
    </w:p>
    <w:p w14:paraId="161B0703" w14:textId="77777777" w:rsidR="00F57987" w:rsidRPr="001459B2" w:rsidRDefault="009B15C3" w:rsidP="0038223D">
      <w:pPr>
        <w:pStyle w:val="Basiccopysl"/>
        <w:spacing w:line="276" w:lineRule="auto"/>
        <w:ind w:left="720"/>
      </w:pPr>
      <w:r w:rsidRPr="00D57724">
        <w:t xml:space="preserve">In this case, the Supreme Court ruled that </w:t>
      </w:r>
      <w:r w:rsidR="00F57987">
        <w:t>opening a town meeting with a prayer fit within a</w:t>
      </w:r>
      <w:r w:rsidR="0038223D">
        <w:t>n</w:t>
      </w:r>
      <w:r w:rsidR="00F57987">
        <w:t xml:space="preserve"> </w:t>
      </w:r>
      <w:r w:rsidR="0038223D">
        <w:t xml:space="preserve">established </w:t>
      </w:r>
      <w:r w:rsidR="00F57987">
        <w:t xml:space="preserve">tradition of prayers </w:t>
      </w:r>
      <w:r w:rsidR="004F084B">
        <w:t xml:space="preserve">to open sessions of </w:t>
      </w:r>
      <w:r w:rsidR="00F57987">
        <w:t>legislatures</w:t>
      </w:r>
      <w:r w:rsidR="003C0929">
        <w:t>. B</w:t>
      </w:r>
      <w:r w:rsidR="00F57987">
        <w:t>ecause the United States has a long history of prayer before legislative meetings</w:t>
      </w:r>
      <w:r w:rsidR="003C0929">
        <w:t xml:space="preserve">, the Court found that </w:t>
      </w:r>
      <w:r w:rsidR="00380C20">
        <w:t>the prayers in this case were</w:t>
      </w:r>
      <w:r w:rsidR="00B11994">
        <w:t xml:space="preserve"> n</w:t>
      </w:r>
      <w:r w:rsidR="00380C20">
        <w:t>ot designed to coerce a particular religious belief or practice.</w:t>
      </w:r>
      <w:r w:rsidR="00F57987">
        <w:t xml:space="preserve"> Th</w:t>
      </w:r>
      <w:r w:rsidR="00380C20">
        <w:t>e Court reasoned that a</w:t>
      </w:r>
      <w:r w:rsidR="00F57987">
        <w:t xml:space="preserve"> reasonable observer would not feel pressured to join or to violate his or her own beliefs by participating. Simply being offended by the prayer does not amount to coercion.</w:t>
      </w:r>
    </w:p>
    <w:p w14:paraId="25E8B0F8" w14:textId="77777777" w:rsidR="00E902D0" w:rsidRPr="00D57724" w:rsidRDefault="00E902D0" w:rsidP="00E902D0">
      <w:pPr>
        <w:pStyle w:val="Subhead2sl"/>
      </w:pPr>
      <w:r w:rsidRPr="00D57724">
        <w:t>Arguments</w:t>
      </w:r>
      <w:r>
        <w:t xml:space="preserve"> for </w:t>
      </w:r>
      <w:r w:rsidR="00DA177E">
        <w:t>Maryland-</w:t>
      </w:r>
      <w:r w:rsidR="00030997">
        <w:t>National Capital Park and Planning Commission</w:t>
      </w:r>
      <w:r w:rsidR="0038223D">
        <w:t xml:space="preserve"> (petitioner)</w:t>
      </w:r>
    </w:p>
    <w:p w14:paraId="6AD9DA61" w14:textId="77777777" w:rsidR="00380C20" w:rsidRDefault="00380C20" w:rsidP="0038223D">
      <w:pPr>
        <w:pStyle w:val="Bulletsl"/>
        <w:spacing w:line="276" w:lineRule="auto"/>
      </w:pPr>
      <w:r>
        <w:t>The purpose of the cross</w:t>
      </w:r>
      <w:r w:rsidR="0038223D">
        <w:t>—</w:t>
      </w:r>
      <w:r>
        <w:t xml:space="preserve">to commemorate </w:t>
      </w:r>
      <w:r w:rsidR="00C52E63">
        <w:t>soldiers</w:t>
      </w:r>
      <w:r>
        <w:t xml:space="preserve"> who died in </w:t>
      </w:r>
      <w:r w:rsidR="0038223D">
        <w:t>World War I—</w:t>
      </w:r>
      <w:r>
        <w:t>is clearly not religious</w:t>
      </w:r>
      <w:r w:rsidR="00B11994">
        <w:t>,</w:t>
      </w:r>
      <w:r>
        <w:t xml:space="preserve"> and the presence of the cross does not have the effect of advancing any particular religion.</w:t>
      </w:r>
    </w:p>
    <w:p w14:paraId="429BB599" w14:textId="77777777" w:rsidR="00380C20" w:rsidRDefault="00380C20" w:rsidP="0038223D">
      <w:pPr>
        <w:pStyle w:val="Bulletsl"/>
        <w:spacing w:line="276" w:lineRule="auto"/>
      </w:pPr>
      <w:r>
        <w:t xml:space="preserve">Display of the cross in a memorial setting, like the prayer in </w:t>
      </w:r>
      <w:r w:rsidR="003C2110" w:rsidRPr="003C2110">
        <w:rPr>
          <w:i/>
        </w:rPr>
        <w:t>Town of Greece</w:t>
      </w:r>
      <w:r w:rsidR="003C2110">
        <w:t xml:space="preserve"> </w:t>
      </w:r>
      <w:r>
        <w:t>in a legislative setting, is part of our nation’s tradition and does not convey a message of endorsement of religion.</w:t>
      </w:r>
      <w:r w:rsidR="00646573">
        <w:t xml:space="preserve">  </w:t>
      </w:r>
    </w:p>
    <w:p w14:paraId="6A9279E2" w14:textId="77777777" w:rsidR="00E902D0" w:rsidRDefault="00380C20" w:rsidP="0038223D">
      <w:pPr>
        <w:pStyle w:val="Bulletsl"/>
        <w:spacing w:line="276" w:lineRule="auto"/>
      </w:pPr>
      <w:r>
        <w:t xml:space="preserve">This display existed for almost 100 years before there was a complaint about it, which suggests that a reasonable observer would not be offended by it.  </w:t>
      </w:r>
    </w:p>
    <w:p w14:paraId="105AC200" w14:textId="77777777" w:rsidR="00380C20" w:rsidRDefault="00380C20" w:rsidP="0038223D">
      <w:pPr>
        <w:pStyle w:val="Bulletsl"/>
        <w:spacing w:line="276" w:lineRule="auto"/>
      </w:pPr>
      <w:r>
        <w:t xml:space="preserve">While the Establishment Clause prohibits government from setting up </w:t>
      </w:r>
      <w:r w:rsidR="00B11994">
        <w:t>or</w:t>
      </w:r>
      <w:r>
        <w:t xml:space="preserve"> advancing religion</w:t>
      </w:r>
      <w:r w:rsidR="00B11994">
        <w:t>,</w:t>
      </w:r>
      <w:r>
        <w:t xml:space="preserve"> the First Amendment also requires that government not be hostile toward religion.</w:t>
      </w:r>
    </w:p>
    <w:p w14:paraId="04D126E3" w14:textId="77777777" w:rsidR="00700AC9" w:rsidRDefault="0059787E" w:rsidP="0038223D">
      <w:pPr>
        <w:pStyle w:val="Bulletsl"/>
        <w:spacing w:line="276" w:lineRule="auto"/>
      </w:pPr>
      <w:r>
        <w:lastRenderedPageBreak/>
        <w:t>A decision for the American Humanist Association w</w:t>
      </w:r>
      <w:r w:rsidR="00D96BB4">
        <w:t>ould call into question thousands of monuments</w:t>
      </w:r>
      <w:r w:rsidR="0038223D">
        <w:t>,</w:t>
      </w:r>
      <w:r w:rsidR="00D96BB4">
        <w:t xml:space="preserve"> including two World War I memorials in Arlington National Cemetery.</w:t>
      </w:r>
    </w:p>
    <w:p w14:paraId="66CD7E5F" w14:textId="77777777" w:rsidR="00700AC9" w:rsidRDefault="00380C20" w:rsidP="0038223D">
      <w:pPr>
        <w:pStyle w:val="Bulletsl"/>
        <w:spacing w:line="276" w:lineRule="auto"/>
      </w:pPr>
      <w:r>
        <w:t>This</w:t>
      </w:r>
      <w:r w:rsidR="00B11994">
        <w:t xml:space="preserve"> </w:t>
      </w:r>
      <w:r w:rsidR="00700AC9">
        <w:t>use of religious imagery i</w:t>
      </w:r>
      <w:r>
        <w:t>s</w:t>
      </w:r>
      <w:r w:rsidR="00B11994">
        <w:t xml:space="preserve"> </w:t>
      </w:r>
      <w:r w:rsidR="00700AC9">
        <w:t xml:space="preserve">consistent with the </w:t>
      </w:r>
      <w:r w:rsidR="0038223D">
        <w:t>n</w:t>
      </w:r>
      <w:r w:rsidR="00700AC9">
        <w:t xml:space="preserve">ation’s historical traditions </w:t>
      </w:r>
      <w:r>
        <w:t>and does not</w:t>
      </w:r>
      <w:r w:rsidR="00700AC9">
        <w:t xml:space="preserve"> coerce religious belief or observance by non</w:t>
      </w:r>
      <w:r w:rsidR="00B11994">
        <w:t>-</w:t>
      </w:r>
      <w:r w:rsidR="00700AC9">
        <w:t>adherents.</w:t>
      </w:r>
      <w:r w:rsidR="003C3904" w:rsidRPr="003C3904">
        <w:t xml:space="preserve"> </w:t>
      </w:r>
      <w:r w:rsidR="003C3904">
        <w:t>Crosses were used as grave</w:t>
      </w:r>
      <w:r w:rsidR="0038223D">
        <w:t xml:space="preserve"> </w:t>
      </w:r>
      <w:r w:rsidR="003C3904">
        <w:t>markers for soldiers buried near battlefields during WWI.</w:t>
      </w:r>
    </w:p>
    <w:p w14:paraId="7475ED48" w14:textId="77777777" w:rsidR="00E902D0" w:rsidRPr="00D57724" w:rsidRDefault="00E902D0" w:rsidP="00E902D0">
      <w:pPr>
        <w:pStyle w:val="Subhead2sl"/>
      </w:pPr>
      <w:r w:rsidRPr="00D57724">
        <w:t xml:space="preserve">Arguments for </w:t>
      </w:r>
      <w:r w:rsidR="0059787E">
        <w:t>t</w:t>
      </w:r>
      <w:r w:rsidR="009B15C3">
        <w:t xml:space="preserve">he American Humanist Association </w:t>
      </w:r>
      <w:r w:rsidR="0038223D">
        <w:t>(respondent)</w:t>
      </w:r>
    </w:p>
    <w:p w14:paraId="6B1CDD23" w14:textId="77777777" w:rsidR="00E902D0" w:rsidRDefault="00380C20" w:rsidP="0038223D">
      <w:pPr>
        <w:pStyle w:val="Bulletsl"/>
        <w:spacing w:line="276" w:lineRule="auto"/>
      </w:pPr>
      <w:r>
        <w:t>According to the Court of Appeals in this case, t</w:t>
      </w:r>
      <w:r w:rsidR="0059787E">
        <w:t>he “</w:t>
      </w:r>
      <w:r w:rsidR="005A71F6">
        <w:t>Latin cross is the ‘preeminent symbol of Christianity,’</w:t>
      </w:r>
      <w:r w:rsidR="0059787E">
        <w:t xml:space="preserve"> and the C</w:t>
      </w:r>
      <w:r w:rsidR="005A71F6">
        <w:t>ourt ‘simply cannot ignore the fact that for thousands of years the Latin cross has represented Christianity</w:t>
      </w:r>
      <w:r>
        <w:t>.</w:t>
      </w:r>
      <w:r w:rsidR="005A71F6">
        <w:t xml:space="preserve">’” </w:t>
      </w:r>
      <w:r>
        <w:t>The religious message of endorsement is unmistakable.</w:t>
      </w:r>
    </w:p>
    <w:p w14:paraId="4D5C7CD4" w14:textId="77777777" w:rsidR="005A71F6" w:rsidRDefault="00380C20" w:rsidP="0038223D">
      <w:pPr>
        <w:pStyle w:val="Bulletsl"/>
        <w:spacing w:line="276" w:lineRule="auto"/>
      </w:pPr>
      <w:r>
        <w:t>Maryland has</w:t>
      </w:r>
      <w:r w:rsidR="00B11994">
        <w:t xml:space="preserve"> </w:t>
      </w:r>
      <w:r w:rsidR="003C2110">
        <w:t xml:space="preserve">endorsed </w:t>
      </w:r>
      <w:r w:rsidR="005A71F6">
        <w:t xml:space="preserve">religion by spending </w:t>
      </w:r>
      <w:r>
        <w:t xml:space="preserve">taxpayer </w:t>
      </w:r>
      <w:r w:rsidR="005A71F6">
        <w:t xml:space="preserve">funds to maintain the </w:t>
      </w:r>
      <w:r w:rsidR="0038223D">
        <w:t xml:space="preserve">memorial </w:t>
      </w:r>
      <w:r>
        <w:t xml:space="preserve">and by setting aside an additional appropriation for </w:t>
      </w:r>
      <w:r w:rsidR="00B11994">
        <w:t>its</w:t>
      </w:r>
      <w:r>
        <w:t xml:space="preserve"> </w:t>
      </w:r>
      <w:r w:rsidR="00B11994">
        <w:t>renovation.</w:t>
      </w:r>
    </w:p>
    <w:p w14:paraId="702DA741" w14:textId="77777777" w:rsidR="00380C20" w:rsidRDefault="00380C20" w:rsidP="00B36462">
      <w:pPr>
        <w:pStyle w:val="Bulletsl"/>
        <w:spacing w:line="276" w:lineRule="auto"/>
      </w:pPr>
      <w:r>
        <w:t>The size and prominence of the cross at a major intersection</w:t>
      </w:r>
      <w:r w:rsidR="003C0929">
        <w:t>,</w:t>
      </w:r>
      <w:r>
        <w:t xml:space="preserve"> where its viewing is unavoidable</w:t>
      </w:r>
      <w:r w:rsidR="003C0929">
        <w:t>,</w:t>
      </w:r>
      <w:r>
        <w:t xml:space="preserve"> cancels out the nearby presence of other non-religious messages that are part of Veteran Memorial Park.</w:t>
      </w:r>
    </w:p>
    <w:p w14:paraId="22766B71" w14:textId="77777777" w:rsidR="009933F7" w:rsidRDefault="009933F7" w:rsidP="0038223D">
      <w:pPr>
        <w:pStyle w:val="Bulletsl"/>
        <w:spacing w:line="276" w:lineRule="auto"/>
      </w:pPr>
      <w:r>
        <w:t xml:space="preserve">Christian prayers were said and Christian hymns sung at the </w:t>
      </w:r>
      <w:r w:rsidR="0038223D">
        <w:t xml:space="preserve">display’s </w:t>
      </w:r>
      <w:r>
        <w:t>dedication</w:t>
      </w:r>
      <w:r w:rsidR="0038223D">
        <w:t xml:space="preserve">, </w:t>
      </w:r>
      <w:r w:rsidR="006940C6">
        <w:t xml:space="preserve">at a </w:t>
      </w:r>
      <w:r>
        <w:t>50</w:t>
      </w:r>
      <w:r w:rsidRPr="0038223D">
        <w:t>th</w:t>
      </w:r>
      <w:r>
        <w:t xml:space="preserve"> </w:t>
      </w:r>
      <w:r w:rsidR="0038223D">
        <w:t>a</w:t>
      </w:r>
      <w:r>
        <w:t>nniversary ceremony</w:t>
      </w:r>
      <w:r w:rsidR="00B11994">
        <w:t>,</w:t>
      </w:r>
      <w:r>
        <w:t xml:space="preserve"> and at </w:t>
      </w:r>
      <w:r w:rsidR="0038223D">
        <w:t xml:space="preserve">a </w:t>
      </w:r>
      <w:r>
        <w:t>recent rededication ceremony.</w:t>
      </w:r>
    </w:p>
    <w:p w14:paraId="34048739" w14:textId="77777777" w:rsidR="003C0929" w:rsidRDefault="0059787E" w:rsidP="003C0929">
      <w:pPr>
        <w:pStyle w:val="Bulletsl"/>
        <w:spacing w:line="276" w:lineRule="auto"/>
      </w:pPr>
      <w:r>
        <w:t xml:space="preserve">The </w:t>
      </w:r>
      <w:r w:rsidR="00485E62">
        <w:t xml:space="preserve">Bladensburg Cross is not a display that </w:t>
      </w:r>
      <w:r w:rsidR="00485E62" w:rsidRPr="003C0929">
        <w:rPr>
          <w:i/>
        </w:rPr>
        <w:t>includes</w:t>
      </w:r>
      <w:r w:rsidR="00485E62">
        <w:t xml:space="preserve"> a religious symbol. The display </w:t>
      </w:r>
      <w:r w:rsidR="00485E62" w:rsidRPr="003C0929">
        <w:rPr>
          <w:i/>
        </w:rPr>
        <w:t>itself</w:t>
      </w:r>
      <w:r w:rsidR="00485E62">
        <w:t xml:space="preserve"> is a religious symbol</w:t>
      </w:r>
      <w:r w:rsidR="003C0929">
        <w:t xml:space="preserve">, specifically a symbol of </w:t>
      </w:r>
      <w:r w:rsidR="00485E62">
        <w:t>Christian</w:t>
      </w:r>
      <w:r w:rsidR="003C0929">
        <w:t>ity</w:t>
      </w:r>
      <w:r w:rsidR="00485E62">
        <w:t xml:space="preserve">. </w:t>
      </w:r>
      <w:r w:rsidR="0038223D">
        <w:t>The C</w:t>
      </w:r>
      <w:r w:rsidR="00485E62">
        <w:t xml:space="preserve">ourt </w:t>
      </w:r>
      <w:r w:rsidR="0038223D">
        <w:t xml:space="preserve">of Appeals </w:t>
      </w:r>
      <w:r w:rsidR="00485E62">
        <w:t xml:space="preserve">found </w:t>
      </w:r>
      <w:r w:rsidR="003C2110">
        <w:t xml:space="preserve">a First Amendment violation </w:t>
      </w:r>
      <w:r w:rsidR="00485E62">
        <w:t xml:space="preserve">precisely “because the Commission is displaying the hallmark symbol of Christianity in a manner that dominates its surroundings and not only overwhelms all other monuments at the park, but also excludes all other religious tenets.” </w:t>
      </w:r>
    </w:p>
    <w:p w14:paraId="2CC45FE3" w14:textId="3A89703C" w:rsidR="00EF50A5" w:rsidRPr="00EF50A5" w:rsidRDefault="00EF50A5" w:rsidP="008F6B7D">
      <w:pPr>
        <w:pStyle w:val="Bulletsl"/>
        <w:spacing w:line="276" w:lineRule="auto"/>
      </w:pPr>
      <w:r>
        <w:t>When t</w:t>
      </w:r>
      <w:r w:rsidR="00B15693">
        <w:t>he Maryland</w:t>
      </w:r>
      <w:r w:rsidR="00885C2D">
        <w:t>-</w:t>
      </w:r>
      <w:r w:rsidR="00B15693">
        <w:t xml:space="preserve">National Park and Planning Commission acquired the </w:t>
      </w:r>
      <w:r w:rsidR="00885C2D">
        <w:t>land containing the c</w:t>
      </w:r>
      <w:r w:rsidR="00B15693">
        <w:t>ross</w:t>
      </w:r>
      <w:r>
        <w:t>, it did so</w:t>
      </w:r>
      <w:r w:rsidR="00B15693">
        <w:t xml:space="preserve"> for the purposes of “the future repair and maintenance of the monument.” Thus, the Commission owns the </w:t>
      </w:r>
      <w:r w:rsidR="00B15693" w:rsidRPr="00EF50A5">
        <w:t xml:space="preserve">land not in spite of the </w:t>
      </w:r>
      <w:r w:rsidR="00885C2D">
        <w:t>c</w:t>
      </w:r>
      <w:r w:rsidR="00B15693" w:rsidRPr="00EF50A5">
        <w:t>ross, but because of it.</w:t>
      </w:r>
    </w:p>
    <w:p w14:paraId="70620AA5" w14:textId="61165EE3" w:rsidR="00B15693" w:rsidRDefault="00F54719" w:rsidP="00885C2D">
      <w:pPr>
        <w:pStyle w:val="Bulletsl"/>
        <w:spacing w:line="276" w:lineRule="auto"/>
      </w:pPr>
      <w:r>
        <w:t>The American Humanist Association members</w:t>
      </w:r>
      <w:r w:rsidR="00EF50A5" w:rsidRPr="00EF50A5">
        <w:t xml:space="preserve"> do not wish to see the </w:t>
      </w:r>
      <w:r w:rsidR="00885C2D">
        <w:t>c</w:t>
      </w:r>
      <w:r w:rsidR="00EF50A5" w:rsidRPr="00EF50A5">
        <w:t>ross torn down; they simply want it removed to private property or modified into a non-religious memorial</w:t>
      </w:r>
      <w:r w:rsidR="00B36462">
        <w:t xml:space="preserve"> </w:t>
      </w:r>
      <w:r w:rsidR="00EF50A5" w:rsidRPr="00EF50A5">
        <w:t>(such as a slab or obelisk).</w:t>
      </w:r>
    </w:p>
    <w:p w14:paraId="2483AAB1" w14:textId="77777777" w:rsidR="00242AB1" w:rsidRDefault="00885C2D" w:rsidP="00885C2D">
      <w:pPr>
        <w:pStyle w:val="Bulletsl"/>
        <w:spacing w:line="276" w:lineRule="auto"/>
        <w:sectPr w:rsidR="00242AB1" w:rsidSect="00242AB1">
          <w:headerReference w:type="default" r:id="rId7"/>
          <w:footerReference w:type="default" r:id="rId8"/>
          <w:headerReference w:type="first" r:id="rId9"/>
          <w:footerReference w:type="first" r:id="rId10"/>
          <w:pgSz w:w="12240" w:h="15840"/>
          <w:pgMar w:top="1440" w:right="1440" w:bottom="1440" w:left="1440" w:header="720" w:footer="720" w:gutter="0"/>
          <w:cols w:space="720"/>
          <w:titlePg/>
          <w:docGrid w:linePitch="360"/>
        </w:sectPr>
      </w:pPr>
      <w:r>
        <w:t>The p</w:t>
      </w:r>
      <w:r w:rsidR="00EF50A5" w:rsidRPr="00EF50A5">
        <w:t>etitioners claim there are “hundreds” of war memorials that include a cross</w:t>
      </w:r>
      <w:r>
        <w:t>. Yet,</w:t>
      </w:r>
      <w:r w:rsidR="00EF50A5" w:rsidRPr="00EF50A5">
        <w:t xml:space="preserve"> they have identified only a handful of freestanding cross monuments</w:t>
      </w:r>
      <w:r>
        <w:t>,</w:t>
      </w:r>
      <w:r w:rsidR="00EF50A5" w:rsidRPr="00EF50A5">
        <w:t xml:space="preserve"> and all but a few are in cemeteries, museums, or other multi-faith </w:t>
      </w:r>
      <w:r>
        <w:t>spaces</w:t>
      </w:r>
      <w:r w:rsidR="00EF50A5" w:rsidRPr="00EF50A5">
        <w:t>. T</w:t>
      </w:r>
      <w:r w:rsidR="00B81F05">
        <w:t>hey cite t</w:t>
      </w:r>
      <w:r w:rsidR="00EF50A5" w:rsidRPr="00EF50A5">
        <w:t>wo smaller cross monuments in Arlington</w:t>
      </w:r>
      <w:r w:rsidR="00EF50A5">
        <w:t xml:space="preserve"> National Cemetery</w:t>
      </w:r>
      <w:r>
        <w:t xml:space="preserve">; </w:t>
      </w:r>
      <w:r w:rsidR="00B81F05">
        <w:t>however</w:t>
      </w:r>
      <w:r>
        <w:t>,</w:t>
      </w:r>
      <w:r w:rsidR="00B81F05">
        <w:t xml:space="preserve"> the crosses </w:t>
      </w:r>
      <w:r w:rsidR="00EF50A5" w:rsidRPr="00EF50A5">
        <w:t>are set amidst approximately 200 other monuments and 26 memorials and are surrounded by a diverse array of religious symbols</w:t>
      </w:r>
      <w:r w:rsidR="00EF50A5">
        <w:t>.</w:t>
      </w:r>
    </w:p>
    <w:p w14:paraId="3574974C" w14:textId="366D5A01" w:rsidR="00102C08" w:rsidRPr="00E902D0" w:rsidRDefault="00242AB1" w:rsidP="003C0929">
      <w:pPr>
        <w:pStyle w:val="Basiccopyindentedsl"/>
      </w:pPr>
      <w:r>
        <w:rPr>
          <w:noProof/>
        </w:rPr>
        <w:lastRenderedPageBreak/>
        <mc:AlternateContent>
          <mc:Choice Requires="wps">
            <w:drawing>
              <wp:anchor distT="0" distB="0" distL="114300" distR="114300" simplePos="0" relativeHeight="251661312" behindDoc="0" locked="0" layoutInCell="1" allowOverlap="1" wp14:anchorId="2A4D46D2" wp14:editId="395C5C5A">
                <wp:simplePos x="0" y="0"/>
                <wp:positionH relativeFrom="margin">
                  <wp:posOffset>5875655</wp:posOffset>
                </wp:positionH>
                <wp:positionV relativeFrom="paragraph">
                  <wp:posOffset>5865390</wp:posOffset>
                </wp:positionV>
                <wp:extent cx="2603500" cy="33845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2603500"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00200" w14:textId="77777777" w:rsidR="00DA177E" w:rsidRPr="001C689F" w:rsidRDefault="00DA177E" w:rsidP="00DA177E">
                            <w:pPr>
                              <w:jc w:val="right"/>
                              <w:rPr>
                                <w:rFonts w:ascii="Gill Sans MT" w:hAnsi="Gill Sans MT"/>
                                <w:color w:val="808080" w:themeColor="background1" w:themeShade="80"/>
                                <w:sz w:val="20"/>
                                <w:szCs w:val="20"/>
                              </w:rPr>
                            </w:pPr>
                            <w:r w:rsidRPr="001C689F">
                              <w:rPr>
                                <w:rFonts w:ascii="Gill Sans MT" w:hAnsi="Gill Sans MT"/>
                                <w:b/>
                                <w:color w:val="808080" w:themeColor="background1" w:themeShade="80"/>
                                <w:sz w:val="20"/>
                                <w:szCs w:val="20"/>
                              </w:rPr>
                              <w:t>Photo Credit:</w:t>
                            </w:r>
                            <w:r w:rsidRPr="001C689F">
                              <w:rPr>
                                <w:rFonts w:ascii="Gill Sans MT" w:hAnsi="Gill Sans MT"/>
                                <w:color w:val="808080" w:themeColor="background1" w:themeShade="80"/>
                                <w:sz w:val="20"/>
                                <w:szCs w:val="20"/>
                              </w:rPr>
                              <w:t xml:space="preserve"> Cathy Ruffing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4D46D2" id="_x0000_t202" coordsize="21600,21600" o:spt="202" path="m,l,21600r21600,l21600,xe">
                <v:stroke joinstyle="miter"/>
                <v:path gradientshapeok="t" o:connecttype="rect"/>
              </v:shapetype>
              <v:shape id="Text Box 17" o:spid="_x0000_s1026" type="#_x0000_t202" style="position:absolute;left:0;text-align:left;margin-left:462.65pt;margin-top:461.85pt;width:205pt;height:26.6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" filled="f" stroked="f" strokeweight=".5pt">
                <v:textbox>
                  <w:txbxContent>
                    <w:p w14:paraId="5D500200" w14:textId="77777777" w:rsidR="00DA177E" w:rsidRPr="001C689F" w:rsidRDefault="00DA177E" w:rsidP="00DA177E">
                      <w:pPr>
                        <w:jc w:val="right"/>
                        <w:rPr>
                          <w:rFonts w:ascii="Gill Sans MT" w:hAnsi="Gill Sans MT"/>
                          <w:color w:val="808080" w:themeColor="background1" w:themeShade="80"/>
                          <w:sz w:val="20"/>
                          <w:szCs w:val="20"/>
                        </w:rPr>
                      </w:pPr>
                      <w:r w:rsidRPr="001C689F">
                        <w:rPr>
                          <w:rFonts w:ascii="Gill Sans MT" w:hAnsi="Gill Sans MT"/>
                          <w:b/>
                          <w:color w:val="808080" w:themeColor="background1" w:themeShade="80"/>
                          <w:sz w:val="20"/>
                          <w:szCs w:val="20"/>
                        </w:rPr>
                        <w:t>Photo Credit:</w:t>
                      </w:r>
                      <w:r w:rsidRPr="001C689F">
                        <w:rPr>
                          <w:rFonts w:ascii="Gill Sans MT" w:hAnsi="Gill Sans MT"/>
                          <w:color w:val="808080" w:themeColor="background1" w:themeShade="80"/>
                          <w:sz w:val="20"/>
                          <w:szCs w:val="20"/>
                        </w:rPr>
                        <w:t xml:space="preserve"> Cathy Ruffing</w:t>
                      </w:r>
                    </w:p>
                  </w:txbxContent>
                </v:textbox>
                <w10:wrap anchorx="margin"/>
              </v:shape>
            </w:pict>
          </mc:Fallback>
        </mc:AlternateContent>
      </w:r>
      <w:r w:rsidR="00885C2D">
        <w:rPr>
          <w:noProof/>
        </w:rPr>
        <mc:AlternateContent>
          <mc:Choice Requires="wps">
            <w:drawing>
              <wp:anchor distT="0" distB="0" distL="114300" distR="114300" simplePos="0" relativeHeight="251659264" behindDoc="0" locked="0" layoutInCell="1" allowOverlap="1" wp14:anchorId="0AABEF6F" wp14:editId="1C22A877">
                <wp:simplePos x="0" y="0"/>
                <wp:positionH relativeFrom="column">
                  <wp:posOffset>-285010</wp:posOffset>
                </wp:positionH>
                <wp:positionV relativeFrom="paragraph">
                  <wp:posOffset>198120</wp:posOffset>
                </wp:positionV>
                <wp:extent cx="8945479" cy="60026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945479" cy="600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4DFB5" w14:textId="77777777" w:rsidR="003C0929" w:rsidRDefault="00885C2D">
                            <w:r>
                              <w:rPr>
                                <w:noProof/>
                              </w:rPr>
                              <w:drawing>
                                <wp:inline distT="0" distB="0" distL="0" distR="0" wp14:anchorId="289A1E9F" wp14:editId="3B9578ED">
                                  <wp:extent cx="8586470" cy="5540375"/>
                                  <wp:effectExtent l="19050" t="19050" r="2413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ace Cross Edited Photo.jpg"/>
                                          <pic:cNvPicPr/>
                                        </pic:nvPicPr>
                                        <pic:blipFill>
                                          <a:blip r:embed="rId11">
                                            <a:extLst>
                                              <a:ext uri="{28A0092B-C50C-407E-A947-70E740481C1C}">
                                                <a14:useLocalDpi xmlns:a14="http://schemas.microsoft.com/office/drawing/2010/main" val="0"/>
                                              </a:ext>
                                            </a:extLst>
                                          </a:blip>
                                          <a:stretch>
                                            <a:fillRect/>
                                          </a:stretch>
                                        </pic:blipFill>
                                        <pic:spPr>
                                          <a:xfrm>
                                            <a:off x="0" y="0"/>
                                            <a:ext cx="8586470" cy="5540375"/>
                                          </a:xfrm>
                                          <a:prstGeom prst="rect">
                                            <a:avLst/>
                                          </a:prstGeom>
                                          <a:ln w="19050">
                                            <a:solidFill>
                                              <a:schemeClr val="bg1">
                                                <a:lumMod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EF6F" id="Text Box 15" o:spid="_x0000_s1027" type="#_x0000_t202" style="position:absolute;left:0;text-align:left;margin-left:-22.45pt;margin-top:15.6pt;width:704.35pt;height:47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U0gAIAAGw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" filled="f" stroked="f" strokeweight=".5pt">
                <v:textbox>
                  <w:txbxContent>
                    <w:p w14:paraId="2BD4DFB5" w14:textId="77777777" w:rsidR="003C0929" w:rsidRDefault="00885C2D">
                      <w:r>
                        <w:rPr>
                          <w:noProof/>
                        </w:rPr>
                        <w:drawing>
                          <wp:inline distT="0" distB="0" distL="0" distR="0" wp14:anchorId="289A1E9F" wp14:editId="3B9578ED">
                            <wp:extent cx="8586470" cy="5540375"/>
                            <wp:effectExtent l="19050" t="19050" r="2413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ace Cross Edited Photo.jpg"/>
                                    <pic:cNvPicPr/>
                                  </pic:nvPicPr>
                                  <pic:blipFill>
                                    <a:blip r:embed="rId12">
                                      <a:extLst>
                                        <a:ext uri="{28A0092B-C50C-407E-A947-70E740481C1C}">
                                          <a14:useLocalDpi xmlns:a14="http://schemas.microsoft.com/office/drawing/2010/main" val="0"/>
                                        </a:ext>
                                      </a:extLst>
                                    </a:blip>
                                    <a:stretch>
                                      <a:fillRect/>
                                    </a:stretch>
                                  </pic:blipFill>
                                  <pic:spPr>
                                    <a:xfrm>
                                      <a:off x="0" y="0"/>
                                      <a:ext cx="8586470" cy="5540375"/>
                                    </a:xfrm>
                                    <a:prstGeom prst="rect">
                                      <a:avLst/>
                                    </a:prstGeom>
                                    <a:ln w="19050">
                                      <a:solidFill>
                                        <a:schemeClr val="bg1">
                                          <a:lumMod val="50000"/>
                                        </a:schemeClr>
                                      </a:solidFill>
                                    </a:ln>
                                  </pic:spPr>
                                </pic:pic>
                              </a:graphicData>
                            </a:graphic>
                          </wp:inline>
                        </w:drawing>
                      </w:r>
                    </w:p>
                  </w:txbxContent>
                </v:textbox>
              </v:shape>
            </w:pict>
          </mc:Fallback>
        </mc:AlternateContent>
      </w:r>
    </w:p>
    <w:sectPr w:rsidR="00102C08" w:rsidRPr="00E902D0" w:rsidSect="003C0929">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21BA5" w14:textId="77777777" w:rsidR="00E14C8F" w:rsidRDefault="00E14C8F" w:rsidP="0078549D">
      <w:r>
        <w:separator/>
      </w:r>
    </w:p>
  </w:endnote>
  <w:endnote w:type="continuationSeparator" w:id="0">
    <w:p w14:paraId="597D836C" w14:textId="77777777" w:rsidR="00E14C8F" w:rsidRDefault="00E14C8F" w:rsidP="0078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hAnsi="Garamond"/>
        <w:sz w:val="22"/>
      </w:rPr>
      <w:id w:val="-1606577467"/>
      <w:docPartObj>
        <w:docPartGallery w:val="Page Numbers (Bottom of Page)"/>
        <w:docPartUnique/>
      </w:docPartObj>
    </w:sdtPr>
    <w:sdtEndPr>
      <w:rPr>
        <w:noProof/>
      </w:rPr>
    </w:sdtEndPr>
    <w:sdtContent>
      <w:p w14:paraId="74F1B694" w14:textId="705FCCD7" w:rsidR="00054DFF" w:rsidRPr="0038223D" w:rsidRDefault="00054DFF">
        <w:pPr>
          <w:pStyle w:val="Footer"/>
          <w:rPr>
            <w:rFonts w:ascii="Garamond" w:hAnsi="Garamond"/>
            <w:sz w:val="22"/>
          </w:rPr>
        </w:pPr>
        <w:r w:rsidRPr="0038223D">
          <w:rPr>
            <w:rFonts w:ascii="Garamond" w:hAnsi="Garamond" w:cstheme="minorHAnsi"/>
            <w:sz w:val="22"/>
          </w:rPr>
          <w:t>©</w:t>
        </w:r>
        <w:r w:rsidRPr="0038223D">
          <w:rPr>
            <w:rFonts w:ascii="Garamond" w:hAnsi="Garamond"/>
            <w:sz w:val="22"/>
          </w:rPr>
          <w:t xml:space="preserve"> 2018 Street Law, Inc.</w:t>
        </w:r>
        <w:r w:rsidR="00242AB1">
          <w:rPr>
            <w:rFonts w:ascii="Garamond" w:hAnsi="Garamond"/>
            <w:sz w:val="22"/>
          </w:rPr>
          <w:tab/>
        </w:r>
        <w:r w:rsidR="00242AB1">
          <w:rPr>
            <w:rFonts w:ascii="Garamond" w:hAnsi="Garamond"/>
            <w:sz w:val="22"/>
          </w:rPr>
          <w:tab/>
          <w:t xml:space="preserve">     </w:t>
        </w:r>
        <w:r>
          <w:rPr>
            <w:rFonts w:ascii="Garamond" w:hAnsi="Garamond"/>
            <w:sz w:val="22"/>
          </w:rPr>
          <w:t xml:space="preserve"> </w:t>
        </w:r>
        <w:r w:rsidRPr="0038223D">
          <w:rPr>
            <w:rFonts w:ascii="Garamond" w:hAnsi="Garamond"/>
            <w:sz w:val="22"/>
          </w:rPr>
          <w:fldChar w:fldCharType="begin"/>
        </w:r>
        <w:r w:rsidRPr="0038223D">
          <w:rPr>
            <w:rFonts w:ascii="Garamond" w:hAnsi="Garamond"/>
            <w:sz w:val="22"/>
          </w:rPr>
          <w:instrText xml:space="preserve"> PAGE   \* MERGEFORMAT </w:instrText>
        </w:r>
        <w:r w:rsidRPr="0038223D">
          <w:rPr>
            <w:rFonts w:ascii="Garamond" w:hAnsi="Garamond"/>
            <w:sz w:val="22"/>
          </w:rPr>
          <w:fldChar w:fldCharType="separate"/>
        </w:r>
        <w:r w:rsidR="003B3087">
          <w:rPr>
            <w:rFonts w:ascii="Garamond" w:hAnsi="Garamond"/>
            <w:noProof/>
            <w:sz w:val="22"/>
          </w:rPr>
          <w:t>4</w:t>
        </w:r>
        <w:r w:rsidRPr="0038223D">
          <w:rPr>
            <w:rFonts w:ascii="Garamond" w:hAnsi="Garamond"/>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hAnsi="Garamond"/>
        <w:sz w:val="22"/>
      </w:rPr>
      <w:id w:val="2054886337"/>
      <w:docPartObj>
        <w:docPartGallery w:val="Page Numbers (Bottom of Page)"/>
        <w:docPartUnique/>
      </w:docPartObj>
    </w:sdtPr>
    <w:sdtEndPr>
      <w:rPr>
        <w:noProof/>
      </w:rPr>
    </w:sdtEndPr>
    <w:sdtContent>
      <w:p w14:paraId="60AC8313" w14:textId="297D0FD0" w:rsidR="00242AB1" w:rsidRPr="00242AB1" w:rsidRDefault="00242AB1">
        <w:pPr>
          <w:pStyle w:val="Footer"/>
          <w:rPr>
            <w:rFonts w:ascii="Garamond" w:hAnsi="Garamond"/>
            <w:sz w:val="22"/>
          </w:rPr>
        </w:pPr>
        <w:r w:rsidRPr="0038223D">
          <w:rPr>
            <w:rFonts w:ascii="Garamond" w:hAnsi="Garamond" w:cstheme="minorHAnsi"/>
            <w:sz w:val="22"/>
          </w:rPr>
          <w:t>©</w:t>
        </w:r>
        <w:r w:rsidRPr="0038223D">
          <w:rPr>
            <w:rFonts w:ascii="Garamond" w:hAnsi="Garamond"/>
            <w:sz w:val="22"/>
          </w:rPr>
          <w:t xml:space="preserve"> 2018 Street Law, Inc.</w:t>
        </w:r>
        <w:r>
          <w:rPr>
            <w:rFonts w:ascii="Garamond" w:hAnsi="Garamond"/>
            <w:sz w:val="22"/>
          </w:rPr>
          <w:tab/>
        </w:r>
        <w:r>
          <w:rPr>
            <w:rFonts w:ascii="Garamond" w:hAnsi="Garamond"/>
            <w:sz w:val="22"/>
          </w:rPr>
          <w:tab/>
          <w:t xml:space="preserve">      </w:t>
        </w:r>
        <w:r w:rsidRPr="0038223D">
          <w:rPr>
            <w:rFonts w:ascii="Garamond" w:hAnsi="Garamond"/>
            <w:sz w:val="22"/>
          </w:rPr>
          <w:fldChar w:fldCharType="begin"/>
        </w:r>
        <w:r w:rsidRPr="0038223D">
          <w:rPr>
            <w:rFonts w:ascii="Garamond" w:hAnsi="Garamond"/>
            <w:sz w:val="22"/>
          </w:rPr>
          <w:instrText xml:space="preserve"> PAGE   \* MERGEFORMAT </w:instrText>
        </w:r>
        <w:r w:rsidRPr="0038223D">
          <w:rPr>
            <w:rFonts w:ascii="Garamond" w:hAnsi="Garamond"/>
            <w:sz w:val="22"/>
          </w:rPr>
          <w:fldChar w:fldCharType="separate"/>
        </w:r>
        <w:r w:rsidR="003B3087">
          <w:rPr>
            <w:rFonts w:ascii="Garamond" w:hAnsi="Garamond"/>
            <w:noProof/>
            <w:sz w:val="22"/>
          </w:rPr>
          <w:t>1</w:t>
        </w:r>
        <w:r w:rsidRPr="0038223D">
          <w:rPr>
            <w:rFonts w:ascii="Garamond" w:hAnsi="Garamond"/>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hAnsi="Garamond"/>
        <w:sz w:val="22"/>
      </w:rPr>
      <w:id w:val="2029917777"/>
      <w:docPartObj>
        <w:docPartGallery w:val="Page Numbers (Bottom of Page)"/>
        <w:docPartUnique/>
      </w:docPartObj>
    </w:sdtPr>
    <w:sdtEndPr>
      <w:rPr>
        <w:noProof/>
      </w:rPr>
    </w:sdtEndPr>
    <w:sdtContent>
      <w:p w14:paraId="2FED8FA4" w14:textId="46442700" w:rsidR="00242AB1" w:rsidRPr="0038223D" w:rsidRDefault="00242AB1">
        <w:pPr>
          <w:pStyle w:val="Footer"/>
          <w:rPr>
            <w:rFonts w:ascii="Garamond" w:hAnsi="Garamond"/>
            <w:sz w:val="22"/>
          </w:rPr>
        </w:pPr>
        <w:r w:rsidRPr="0038223D">
          <w:rPr>
            <w:rFonts w:ascii="Garamond" w:hAnsi="Garamond" w:cstheme="minorHAnsi"/>
            <w:sz w:val="22"/>
          </w:rPr>
          <w:t>©</w:t>
        </w:r>
        <w:r w:rsidRPr="0038223D">
          <w:rPr>
            <w:rFonts w:ascii="Garamond" w:hAnsi="Garamond"/>
            <w:sz w:val="22"/>
          </w:rPr>
          <w:t xml:space="preserve"> 2018 Street Law, Inc.</w:t>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t xml:space="preserve">           </w:t>
        </w:r>
        <w:r w:rsidRPr="0038223D">
          <w:rPr>
            <w:rFonts w:ascii="Garamond" w:hAnsi="Garamond"/>
            <w:sz w:val="22"/>
          </w:rPr>
          <w:fldChar w:fldCharType="begin"/>
        </w:r>
        <w:r w:rsidRPr="0038223D">
          <w:rPr>
            <w:rFonts w:ascii="Garamond" w:hAnsi="Garamond"/>
            <w:sz w:val="22"/>
          </w:rPr>
          <w:instrText xml:space="preserve"> PAGE   \* MERGEFORMAT </w:instrText>
        </w:r>
        <w:r w:rsidRPr="0038223D">
          <w:rPr>
            <w:rFonts w:ascii="Garamond" w:hAnsi="Garamond"/>
            <w:sz w:val="22"/>
          </w:rPr>
          <w:fldChar w:fldCharType="separate"/>
        </w:r>
        <w:r w:rsidR="003B3087">
          <w:rPr>
            <w:rFonts w:ascii="Garamond" w:hAnsi="Garamond"/>
            <w:noProof/>
            <w:sz w:val="22"/>
          </w:rPr>
          <w:t>5</w:t>
        </w:r>
        <w:r w:rsidRPr="0038223D">
          <w:rPr>
            <w:rFonts w:ascii="Garamond" w:hAnsi="Garamond"/>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40AC4" w14:textId="77777777" w:rsidR="00E14C8F" w:rsidRDefault="00E14C8F" w:rsidP="0078549D">
      <w:r>
        <w:separator/>
      </w:r>
    </w:p>
  </w:footnote>
  <w:footnote w:type="continuationSeparator" w:id="0">
    <w:p w14:paraId="03579BF0" w14:textId="77777777" w:rsidR="00E14C8F" w:rsidRDefault="00E14C8F" w:rsidP="00785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602A3" w14:textId="77777777" w:rsidR="00242AB1" w:rsidRPr="0038223D" w:rsidRDefault="00242AB1" w:rsidP="00242AB1">
    <w:pPr>
      <w:jc w:val="right"/>
      <w:rPr>
        <w:sz w:val="22"/>
        <w:szCs w:val="22"/>
      </w:rPr>
    </w:pPr>
    <w:r w:rsidRPr="00843682">
      <w:rPr>
        <w:rFonts w:ascii="Garamond" w:hAnsi="Garamond"/>
        <w:noProof/>
        <w:sz w:val="22"/>
        <w:szCs w:val="22"/>
      </w:rPr>
      <mc:AlternateContent>
        <mc:Choice Requires="wps">
          <w:drawing>
            <wp:anchor distT="0" distB="0" distL="114300" distR="114300" simplePos="0" relativeHeight="251661312" behindDoc="0" locked="0" layoutInCell="1" allowOverlap="1" wp14:anchorId="470000FB" wp14:editId="663267E3">
              <wp:simplePos x="0" y="0"/>
              <wp:positionH relativeFrom="column">
                <wp:posOffset>-209550</wp:posOffset>
              </wp:positionH>
              <wp:positionV relativeFrom="paragraph">
                <wp:posOffset>-171450</wp:posOffset>
              </wp:positionV>
              <wp:extent cx="2695575" cy="54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F921E" w14:textId="77777777" w:rsidR="00242AB1" w:rsidRDefault="00242AB1" w:rsidP="00242AB1">
                          <w:r>
                            <w:rPr>
                              <w:noProof/>
                            </w:rPr>
                            <w:drawing>
                              <wp:inline distT="0" distB="0" distL="0" distR="0" wp14:anchorId="4E81864B" wp14:editId="5A09CC0D">
                                <wp:extent cx="1718310" cy="4451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0000FB" id="_x0000_t202" coordsize="21600,21600" o:spt="202" path="m,l,21600r21600,l21600,xe">
              <v:stroke joinstyle="miter"/>
              <v:path gradientshapeok="t" o:connecttype="rect"/>
            </v:shapetype>
            <v:shape id="Text Box 2" o:spid="_x0000_s1028" type="#_x0000_t202" style="position:absolute;left:0;text-align:left;margin-left:-16.5pt;margin-top:-13.5pt;width:212.2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" filled="f" stroked="f" strokeweight=".5pt">
              <v:textbox>
                <w:txbxContent>
                  <w:p w14:paraId="21FF921E" w14:textId="77777777" w:rsidR="00242AB1" w:rsidRDefault="00242AB1" w:rsidP="00242AB1">
                    <w:r>
                      <w:rPr>
                        <w:noProof/>
                      </w:rPr>
                      <w:drawing>
                        <wp:inline distT="0" distB="0" distL="0" distR="0" wp14:anchorId="4E81864B" wp14:editId="5A09CC0D">
                          <wp:extent cx="1718310" cy="4451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3C0929">
      <w:rPr>
        <w:rFonts w:ascii="Garamond" w:hAnsi="Garamond"/>
        <w:i/>
      </w:rPr>
      <w:t xml:space="preserve"> </w:t>
    </w:r>
    <w:r w:rsidRPr="00285EF2">
      <w:rPr>
        <w:rFonts w:ascii="Garamond" w:hAnsi="Garamond"/>
        <w:i/>
      </w:rPr>
      <w:t>Mar</w:t>
    </w:r>
    <w:r>
      <w:rPr>
        <w:rFonts w:ascii="Garamond" w:hAnsi="Garamond"/>
        <w:i/>
      </w:rPr>
      <w:t xml:space="preserve">yland-National Capital Park and </w:t>
    </w:r>
    <w:r w:rsidRPr="00285EF2">
      <w:rPr>
        <w:rFonts w:ascii="Garamond" w:hAnsi="Garamond"/>
        <w:i/>
      </w:rPr>
      <w:t xml:space="preserve">Planning Commission </w:t>
    </w:r>
    <w:r>
      <w:rPr>
        <w:rFonts w:ascii="Garamond" w:hAnsi="Garamond"/>
        <w:i/>
      </w:rPr>
      <w:br/>
    </w:r>
    <w:r w:rsidRPr="00285EF2">
      <w:rPr>
        <w:rFonts w:ascii="Garamond" w:hAnsi="Garamond"/>
        <w:i/>
      </w:rPr>
      <w:t>v. American Humanist Association</w:t>
    </w:r>
  </w:p>
  <w:p w14:paraId="52EE16A6" w14:textId="77777777" w:rsidR="00242AB1" w:rsidRDefault="00242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85A76" w14:textId="77777777" w:rsidR="00242AB1" w:rsidRPr="00843682" w:rsidRDefault="00242AB1" w:rsidP="00242AB1">
    <w:pPr>
      <w:pStyle w:val="Header"/>
      <w:ind w:left="1080" w:firstLine="3960"/>
      <w:jc w:val="right"/>
      <w:rPr>
        <w:sz w:val="22"/>
        <w:szCs w:val="22"/>
      </w:rPr>
    </w:pPr>
    <w:r w:rsidRPr="00843682">
      <w:rPr>
        <w:rFonts w:ascii="Garamond" w:hAnsi="Garamond"/>
        <w:noProof/>
        <w:sz w:val="22"/>
        <w:szCs w:val="22"/>
      </w:rPr>
      <mc:AlternateContent>
        <mc:Choice Requires="wps">
          <w:drawing>
            <wp:anchor distT="0" distB="0" distL="114300" distR="114300" simplePos="0" relativeHeight="251659264" behindDoc="0" locked="0" layoutInCell="1" allowOverlap="1" wp14:anchorId="16934A98" wp14:editId="2BA16803">
              <wp:simplePos x="0" y="0"/>
              <wp:positionH relativeFrom="column">
                <wp:posOffset>-209550</wp:posOffset>
              </wp:positionH>
              <wp:positionV relativeFrom="paragraph">
                <wp:posOffset>-171450</wp:posOffset>
              </wp:positionV>
              <wp:extent cx="2695575" cy="542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B4850" w14:textId="77777777" w:rsidR="00242AB1" w:rsidRDefault="00242AB1" w:rsidP="00242AB1">
                          <w:r>
                            <w:rPr>
                              <w:noProof/>
                            </w:rPr>
                            <w:drawing>
                              <wp:inline distT="0" distB="0" distL="0" distR="0" wp14:anchorId="7638C201" wp14:editId="7A7785E3">
                                <wp:extent cx="1718310" cy="4451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1">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934A98" id="_x0000_t202" coordsize="21600,21600" o:spt="202" path="m,l,21600r21600,l21600,xe">
              <v:stroke joinstyle="miter"/>
              <v:path gradientshapeok="t" o:connecttype="rect"/>
            </v:shapetype>
            <v:shape id="Text Box 4" o:spid="_x0000_s1029" type="#_x0000_t202" style="position:absolute;left:0;text-align:left;margin-left:-16.5pt;margin-top:-13.5pt;width:212.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" filled="f" stroked="f" strokeweight=".5pt">
              <v:textbox>
                <w:txbxContent>
                  <w:p w14:paraId="2CDB4850" w14:textId="77777777" w:rsidR="00242AB1" w:rsidRDefault="00242AB1" w:rsidP="00242AB1">
                    <w:r>
                      <w:rPr>
                        <w:noProof/>
                      </w:rPr>
                      <w:drawing>
                        <wp:inline distT="0" distB="0" distL="0" distR="0" wp14:anchorId="7638C201" wp14:editId="7A7785E3">
                          <wp:extent cx="1718310" cy="4451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r w:rsidRPr="00843682">
      <w:rPr>
        <w:rFonts w:ascii="Garamond" w:hAnsi="Garamond"/>
        <w:sz w:val="22"/>
        <w:szCs w:val="22"/>
      </w:rPr>
      <w:t>Street Law Case Summary</w:t>
    </w:r>
  </w:p>
  <w:p w14:paraId="2D9B8213" w14:textId="77777777" w:rsidR="00242AB1" w:rsidRDefault="00242A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0E63"/>
    <w:multiLevelType w:val="hybridMultilevel"/>
    <w:tmpl w:val="25906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77D41"/>
    <w:multiLevelType w:val="hybridMultilevel"/>
    <w:tmpl w:val="15EEAA6E"/>
    <w:lvl w:ilvl="0" w:tplc="4B88F58A">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3E3AB7"/>
    <w:multiLevelType w:val="hybridMultilevel"/>
    <w:tmpl w:val="8BB4DAB4"/>
    <w:lvl w:ilvl="0" w:tplc="24C887E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A00CD"/>
    <w:multiLevelType w:val="hybridMultilevel"/>
    <w:tmpl w:val="45649D56"/>
    <w:lvl w:ilvl="0" w:tplc="8AB6FEF2">
      <w:start w:val="1"/>
      <w:numFmt w:val="decimal"/>
      <w:pStyle w:val="Numberedlists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73B5BBB"/>
    <w:multiLevelType w:val="hybridMultilevel"/>
    <w:tmpl w:val="BCBE6B80"/>
    <w:lvl w:ilvl="0" w:tplc="24C887EA">
      <w:start w:val="1"/>
      <w:numFmt w:val="bullet"/>
      <w:lvlText w:val=""/>
      <w:lvlJc w:val="left"/>
      <w:pPr>
        <w:ind w:left="720" w:hanging="360"/>
      </w:pPr>
      <w:rPr>
        <w:rFonts w:ascii="Symbol" w:hAnsi="Symbol" w:hint="default"/>
      </w:rPr>
    </w:lvl>
    <w:lvl w:ilvl="1" w:tplc="9142027A">
      <w:start w:val="1"/>
      <w:numFmt w:val="bullet"/>
      <w:pStyle w:val="Sub-bulletsl"/>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2719B"/>
    <w:multiLevelType w:val="hybridMultilevel"/>
    <w:tmpl w:val="B3E27644"/>
    <w:lvl w:ilvl="0" w:tplc="9612A690">
      <w:start w:val="1"/>
      <w:numFmt w:val="upperRoman"/>
      <w:pStyle w:val="Outlinelevel1"/>
      <w:lvlText w:val="%1."/>
      <w:lvlJc w:val="right"/>
      <w:pPr>
        <w:ind w:left="720" w:hanging="360"/>
      </w:pPr>
    </w:lvl>
    <w:lvl w:ilvl="1" w:tplc="6316CF84">
      <w:start w:val="1"/>
      <w:numFmt w:val="lowerLetter"/>
      <w:lvlText w:val="%2."/>
      <w:lvlJc w:val="left"/>
      <w:pPr>
        <w:ind w:left="1440" w:hanging="360"/>
      </w:pPr>
      <w:rPr>
        <w:b w:val="0"/>
      </w:rPr>
    </w:lvl>
    <w:lvl w:ilvl="2" w:tplc="26A86624">
      <w:start w:val="1"/>
      <w:numFmt w:val="lowerRoman"/>
      <w:lvlText w:val="%3."/>
      <w:lvlJc w:val="right"/>
      <w:pPr>
        <w:ind w:left="2070" w:hanging="180"/>
      </w:pPr>
      <w:rPr>
        <w:i w:val="0"/>
      </w:rPr>
    </w:lvl>
    <w:lvl w:ilvl="3" w:tplc="7E445516">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40D0D"/>
    <w:multiLevelType w:val="hybridMultilevel"/>
    <w:tmpl w:val="06704E50"/>
    <w:lvl w:ilvl="0" w:tplc="4D8674A2">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F26CD"/>
    <w:multiLevelType w:val="hybridMultilevel"/>
    <w:tmpl w:val="658C28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D7A3D2B"/>
    <w:multiLevelType w:val="hybridMultilevel"/>
    <w:tmpl w:val="26025F42"/>
    <w:lvl w:ilvl="0" w:tplc="82DE230E">
      <w:start w:val="1"/>
      <w:numFmt w:val="decimal"/>
      <w:lvlText w:val="%1."/>
      <w:lvlJc w:val="left"/>
      <w:pPr>
        <w:ind w:left="720" w:hanging="360"/>
      </w:pPr>
    </w:lvl>
    <w:lvl w:ilvl="1" w:tplc="896A3F2A">
      <w:start w:val="1"/>
      <w:numFmt w:val="lowerLetter"/>
      <w:pStyle w:val="Outlinelevel2"/>
      <w:lvlText w:val="%2."/>
      <w:lvlJc w:val="left"/>
      <w:pPr>
        <w:ind w:left="1440" w:hanging="360"/>
      </w:pPr>
      <w:rPr>
        <w:b w:val="0"/>
      </w:rPr>
    </w:lvl>
    <w:lvl w:ilvl="2" w:tplc="D2C8D7FC">
      <w:start w:val="1"/>
      <w:numFmt w:val="lowerRoman"/>
      <w:pStyle w:val="Outlinelevel3"/>
      <w:lvlText w:val="%3."/>
      <w:lvlJc w:val="right"/>
      <w:pPr>
        <w:ind w:left="2070" w:hanging="180"/>
      </w:pPr>
      <w:rPr>
        <w:i w:val="0"/>
      </w:rPr>
    </w:lvl>
    <w:lvl w:ilvl="3" w:tplc="7E445516">
      <w:start w:val="1"/>
      <w:numFmt w:val="decimal"/>
      <w:pStyle w:val="Outlinelevel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395F2F"/>
    <w:multiLevelType w:val="hybridMultilevel"/>
    <w:tmpl w:val="9364F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09719F"/>
    <w:multiLevelType w:val="hybridMultilevel"/>
    <w:tmpl w:val="804C7430"/>
    <w:lvl w:ilvl="0" w:tplc="4B88F58A">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54498C"/>
    <w:multiLevelType w:val="hybridMultilevel"/>
    <w:tmpl w:val="A99406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432A1B"/>
    <w:multiLevelType w:val="hybridMultilevel"/>
    <w:tmpl w:val="0144D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1246EE"/>
    <w:multiLevelType w:val="hybridMultilevel"/>
    <w:tmpl w:val="04B86D06"/>
    <w:lvl w:ilvl="0" w:tplc="0310F81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8"/>
  </w:num>
  <w:num w:numId="6">
    <w:abstractNumId w:val="5"/>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9"/>
  </w:num>
  <w:num w:numId="12">
    <w:abstractNumId w:val="0"/>
  </w:num>
  <w:num w:numId="13">
    <w:abstractNumId w:val="6"/>
  </w:num>
  <w:num w:numId="14">
    <w:abstractNumId w:val="1"/>
  </w:num>
  <w:num w:numId="15">
    <w:abstractNumId w:val="10"/>
  </w:num>
  <w:num w:numId="16">
    <w:abstractNumId w:val="12"/>
  </w:num>
  <w:num w:numId="17">
    <w:abstractNumId w:val="11"/>
  </w:num>
  <w:num w:numId="18">
    <w:abstractNumId w:val="7"/>
  </w:num>
  <w:num w:numId="19">
    <w:abstractNumId w:val="6"/>
  </w:num>
  <w:num w:numId="20">
    <w:abstractNumId w:val="6"/>
  </w:num>
  <w:num w:numId="21">
    <w:abstractNumId w:val="6"/>
  </w:num>
  <w:num w:numId="22">
    <w:abstractNumId w:val="6"/>
  </w:num>
  <w:num w:numId="23">
    <w:abstractNumId w:val="6"/>
  </w:num>
  <w:num w:numId="24">
    <w:abstractNumId w:val="1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3B0"/>
    <w:rsid w:val="00005D89"/>
    <w:rsid w:val="000252E9"/>
    <w:rsid w:val="00030997"/>
    <w:rsid w:val="0003682D"/>
    <w:rsid w:val="00053579"/>
    <w:rsid w:val="00054DFF"/>
    <w:rsid w:val="00064C88"/>
    <w:rsid w:val="000657A3"/>
    <w:rsid w:val="00090AA8"/>
    <w:rsid w:val="000A1830"/>
    <w:rsid w:val="000B52BC"/>
    <w:rsid w:val="000C7E12"/>
    <w:rsid w:val="000E239D"/>
    <w:rsid w:val="000F342E"/>
    <w:rsid w:val="000F7EA2"/>
    <w:rsid w:val="00102C08"/>
    <w:rsid w:val="00137863"/>
    <w:rsid w:val="001559C2"/>
    <w:rsid w:val="00161348"/>
    <w:rsid w:val="00161C2E"/>
    <w:rsid w:val="00170B98"/>
    <w:rsid w:val="001A3BEE"/>
    <w:rsid w:val="001D03B0"/>
    <w:rsid w:val="001E3BD5"/>
    <w:rsid w:val="001F1DCE"/>
    <w:rsid w:val="00202CC4"/>
    <w:rsid w:val="00226B31"/>
    <w:rsid w:val="00242AB1"/>
    <w:rsid w:val="00242F00"/>
    <w:rsid w:val="00250E4E"/>
    <w:rsid w:val="00251C6E"/>
    <w:rsid w:val="002631E7"/>
    <w:rsid w:val="00263D51"/>
    <w:rsid w:val="00266605"/>
    <w:rsid w:val="00290061"/>
    <w:rsid w:val="002918B2"/>
    <w:rsid w:val="0029367F"/>
    <w:rsid w:val="002B4D38"/>
    <w:rsid w:val="002B5486"/>
    <w:rsid w:val="002C68A3"/>
    <w:rsid w:val="002D03AB"/>
    <w:rsid w:val="00310F79"/>
    <w:rsid w:val="0031399C"/>
    <w:rsid w:val="00317735"/>
    <w:rsid w:val="00326C1C"/>
    <w:rsid w:val="00350CC2"/>
    <w:rsid w:val="003512E4"/>
    <w:rsid w:val="00374A60"/>
    <w:rsid w:val="00375090"/>
    <w:rsid w:val="00380C20"/>
    <w:rsid w:val="0038223D"/>
    <w:rsid w:val="00387E81"/>
    <w:rsid w:val="00396125"/>
    <w:rsid w:val="00396AEB"/>
    <w:rsid w:val="003A6D7F"/>
    <w:rsid w:val="003B3087"/>
    <w:rsid w:val="003C0929"/>
    <w:rsid w:val="003C2110"/>
    <w:rsid w:val="003C3904"/>
    <w:rsid w:val="003D464A"/>
    <w:rsid w:val="003E28F8"/>
    <w:rsid w:val="004060CA"/>
    <w:rsid w:val="004334F6"/>
    <w:rsid w:val="00437374"/>
    <w:rsid w:val="004672DA"/>
    <w:rsid w:val="0047213E"/>
    <w:rsid w:val="0048302B"/>
    <w:rsid w:val="00485E62"/>
    <w:rsid w:val="004A0601"/>
    <w:rsid w:val="004A5AEB"/>
    <w:rsid w:val="004B560A"/>
    <w:rsid w:val="004E2771"/>
    <w:rsid w:val="004E283D"/>
    <w:rsid w:val="004F084B"/>
    <w:rsid w:val="004F4D6D"/>
    <w:rsid w:val="0052194C"/>
    <w:rsid w:val="005311FB"/>
    <w:rsid w:val="005324F9"/>
    <w:rsid w:val="00552B5B"/>
    <w:rsid w:val="00571655"/>
    <w:rsid w:val="00572C81"/>
    <w:rsid w:val="005843F9"/>
    <w:rsid w:val="0059328C"/>
    <w:rsid w:val="0059787E"/>
    <w:rsid w:val="005A0330"/>
    <w:rsid w:val="005A71F6"/>
    <w:rsid w:val="005B5776"/>
    <w:rsid w:val="005C3E6E"/>
    <w:rsid w:val="005D62A2"/>
    <w:rsid w:val="005F290F"/>
    <w:rsid w:val="005F78E8"/>
    <w:rsid w:val="00602DD9"/>
    <w:rsid w:val="00605764"/>
    <w:rsid w:val="00610436"/>
    <w:rsid w:val="00613B87"/>
    <w:rsid w:val="0063786F"/>
    <w:rsid w:val="00646573"/>
    <w:rsid w:val="00655C4C"/>
    <w:rsid w:val="00671A19"/>
    <w:rsid w:val="006940C6"/>
    <w:rsid w:val="00697C4F"/>
    <w:rsid w:val="006A5D88"/>
    <w:rsid w:val="006C32DA"/>
    <w:rsid w:val="006C3A85"/>
    <w:rsid w:val="006D1382"/>
    <w:rsid w:val="006E39F2"/>
    <w:rsid w:val="00700A1C"/>
    <w:rsid w:val="00700AC9"/>
    <w:rsid w:val="00722867"/>
    <w:rsid w:val="007435CA"/>
    <w:rsid w:val="00783E8E"/>
    <w:rsid w:val="0078549D"/>
    <w:rsid w:val="00785FE1"/>
    <w:rsid w:val="00787385"/>
    <w:rsid w:val="0079282E"/>
    <w:rsid w:val="007B25F9"/>
    <w:rsid w:val="007B5462"/>
    <w:rsid w:val="007C3126"/>
    <w:rsid w:val="007C4C9A"/>
    <w:rsid w:val="007F700D"/>
    <w:rsid w:val="00815CB0"/>
    <w:rsid w:val="0081706F"/>
    <w:rsid w:val="00843682"/>
    <w:rsid w:val="008474C5"/>
    <w:rsid w:val="0085476C"/>
    <w:rsid w:val="00865DEC"/>
    <w:rsid w:val="00875B8D"/>
    <w:rsid w:val="00885C2D"/>
    <w:rsid w:val="008876E5"/>
    <w:rsid w:val="008A013B"/>
    <w:rsid w:val="008C6202"/>
    <w:rsid w:val="008C716E"/>
    <w:rsid w:val="008E399A"/>
    <w:rsid w:val="008F6B7D"/>
    <w:rsid w:val="0093231D"/>
    <w:rsid w:val="009671A3"/>
    <w:rsid w:val="009865D7"/>
    <w:rsid w:val="00991328"/>
    <w:rsid w:val="009933F7"/>
    <w:rsid w:val="009B15C3"/>
    <w:rsid w:val="009D6B03"/>
    <w:rsid w:val="00A032C9"/>
    <w:rsid w:val="00A47C81"/>
    <w:rsid w:val="00A55AE7"/>
    <w:rsid w:val="00A6414B"/>
    <w:rsid w:val="00AC0405"/>
    <w:rsid w:val="00AD09E1"/>
    <w:rsid w:val="00AD525A"/>
    <w:rsid w:val="00AE0C77"/>
    <w:rsid w:val="00AF19FC"/>
    <w:rsid w:val="00B11994"/>
    <w:rsid w:val="00B13B54"/>
    <w:rsid w:val="00B15693"/>
    <w:rsid w:val="00B222D3"/>
    <w:rsid w:val="00B36462"/>
    <w:rsid w:val="00B4763B"/>
    <w:rsid w:val="00B62487"/>
    <w:rsid w:val="00B66297"/>
    <w:rsid w:val="00B70BB6"/>
    <w:rsid w:val="00B81F05"/>
    <w:rsid w:val="00B90D97"/>
    <w:rsid w:val="00BE1DB7"/>
    <w:rsid w:val="00BE4A01"/>
    <w:rsid w:val="00C032A1"/>
    <w:rsid w:val="00C143DA"/>
    <w:rsid w:val="00C264CC"/>
    <w:rsid w:val="00C40F6D"/>
    <w:rsid w:val="00C52E63"/>
    <w:rsid w:val="00C53C59"/>
    <w:rsid w:val="00C568F0"/>
    <w:rsid w:val="00C65B4F"/>
    <w:rsid w:val="00CB6D15"/>
    <w:rsid w:val="00CC741A"/>
    <w:rsid w:val="00CD235C"/>
    <w:rsid w:val="00CD6733"/>
    <w:rsid w:val="00CE0199"/>
    <w:rsid w:val="00CE5378"/>
    <w:rsid w:val="00D12DDB"/>
    <w:rsid w:val="00D14879"/>
    <w:rsid w:val="00D86948"/>
    <w:rsid w:val="00D8707C"/>
    <w:rsid w:val="00D96BB4"/>
    <w:rsid w:val="00DA177E"/>
    <w:rsid w:val="00DB4F2F"/>
    <w:rsid w:val="00DC1B88"/>
    <w:rsid w:val="00DD7331"/>
    <w:rsid w:val="00DE3D18"/>
    <w:rsid w:val="00E03EC5"/>
    <w:rsid w:val="00E14C8F"/>
    <w:rsid w:val="00E200DC"/>
    <w:rsid w:val="00E564CB"/>
    <w:rsid w:val="00E62C34"/>
    <w:rsid w:val="00E74BF3"/>
    <w:rsid w:val="00E74C4C"/>
    <w:rsid w:val="00E902D0"/>
    <w:rsid w:val="00EE5548"/>
    <w:rsid w:val="00EF2A23"/>
    <w:rsid w:val="00EF50A5"/>
    <w:rsid w:val="00EF76E3"/>
    <w:rsid w:val="00F21320"/>
    <w:rsid w:val="00F25506"/>
    <w:rsid w:val="00F355A5"/>
    <w:rsid w:val="00F54719"/>
    <w:rsid w:val="00F57987"/>
    <w:rsid w:val="00F65DF6"/>
    <w:rsid w:val="00F777C1"/>
    <w:rsid w:val="00F94459"/>
    <w:rsid w:val="00FC5BD8"/>
    <w:rsid w:val="00FE1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CFAA8"/>
  <w15:docId w15:val="{571A7375-67B0-4C47-A378-35CA69DB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A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96A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74A60"/>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AEB"/>
    <w:rPr>
      <w:rFonts w:asciiTheme="majorHAnsi" w:eastAsiaTheme="majorEastAsia" w:hAnsiTheme="majorHAnsi" w:cstheme="majorBidi"/>
      <w:b/>
      <w:bCs/>
      <w:color w:val="365F91" w:themeColor="accent1" w:themeShade="BF"/>
      <w:sz w:val="28"/>
      <w:szCs w:val="28"/>
    </w:rPr>
  </w:style>
  <w:style w:type="paragraph" w:customStyle="1" w:styleId="Title1sl">
    <w:name w:val="Title 1_sl"/>
    <w:basedOn w:val="Normal"/>
    <w:link w:val="Title1slChar"/>
    <w:qFormat/>
    <w:rsid w:val="00375090"/>
    <w:pPr>
      <w:spacing w:before="360" w:after="240"/>
    </w:pPr>
    <w:rPr>
      <w:rFonts w:ascii="Gill Sans MT" w:hAnsi="Gill Sans MT"/>
      <w:b/>
      <w:sz w:val="48"/>
      <w:szCs w:val="48"/>
    </w:rPr>
  </w:style>
  <w:style w:type="paragraph" w:customStyle="1" w:styleId="Title2sl">
    <w:name w:val="Title 2_sl"/>
    <w:basedOn w:val="Normal"/>
    <w:link w:val="Title2slChar"/>
    <w:qFormat/>
    <w:rsid w:val="00375090"/>
    <w:pPr>
      <w:spacing w:before="360" w:after="240"/>
    </w:pPr>
    <w:rPr>
      <w:rFonts w:ascii="Gill Sans MT" w:hAnsi="Gill Sans MT"/>
      <w:b/>
      <w:sz w:val="36"/>
      <w:szCs w:val="36"/>
    </w:rPr>
  </w:style>
  <w:style w:type="character" w:customStyle="1" w:styleId="Title1slChar">
    <w:name w:val="Title 1_sl Char"/>
    <w:basedOn w:val="DefaultParagraphFont"/>
    <w:link w:val="Title1sl"/>
    <w:rsid w:val="00375090"/>
    <w:rPr>
      <w:rFonts w:ascii="Gill Sans MT" w:hAnsi="Gill Sans MT"/>
      <w:b/>
      <w:sz w:val="48"/>
      <w:szCs w:val="48"/>
    </w:rPr>
  </w:style>
  <w:style w:type="paragraph" w:customStyle="1" w:styleId="Subhead1sl">
    <w:name w:val="Subhead 1_sl"/>
    <w:basedOn w:val="Normal"/>
    <w:link w:val="Subhead1slChar"/>
    <w:qFormat/>
    <w:rsid w:val="001D03B0"/>
    <w:pPr>
      <w:spacing w:before="120" w:after="120"/>
      <w:jc w:val="center"/>
    </w:pPr>
    <w:rPr>
      <w:rFonts w:ascii="Gill Sans MT" w:hAnsi="Gill Sans MT"/>
      <w:b/>
      <w:sz w:val="32"/>
      <w:szCs w:val="32"/>
    </w:rPr>
  </w:style>
  <w:style w:type="character" w:customStyle="1" w:styleId="Title2slChar">
    <w:name w:val="Title 2_sl Char"/>
    <w:basedOn w:val="DefaultParagraphFont"/>
    <w:link w:val="Title2sl"/>
    <w:rsid w:val="00375090"/>
    <w:rPr>
      <w:rFonts w:ascii="Gill Sans MT" w:hAnsi="Gill Sans MT"/>
      <w:b/>
      <w:sz w:val="36"/>
      <w:szCs w:val="36"/>
    </w:rPr>
  </w:style>
  <w:style w:type="paragraph" w:customStyle="1" w:styleId="Subhead2sl">
    <w:name w:val="Subhead 2_sl"/>
    <w:basedOn w:val="Normal"/>
    <w:link w:val="Subhead2slChar"/>
    <w:qFormat/>
    <w:rsid w:val="000A1830"/>
    <w:pPr>
      <w:spacing w:before="360" w:after="120"/>
    </w:pPr>
    <w:rPr>
      <w:rFonts w:ascii="Gill Sans MT" w:hAnsi="Gill Sans MT"/>
      <w:b/>
      <w:i/>
    </w:rPr>
  </w:style>
  <w:style w:type="character" w:customStyle="1" w:styleId="Subhead1slChar">
    <w:name w:val="Subhead 1_sl Char"/>
    <w:basedOn w:val="DefaultParagraphFont"/>
    <w:link w:val="Subhead1sl"/>
    <w:rsid w:val="001D03B0"/>
    <w:rPr>
      <w:rFonts w:ascii="Gill Sans MT" w:hAnsi="Gill Sans MT"/>
      <w:b/>
      <w:sz w:val="32"/>
      <w:szCs w:val="32"/>
    </w:rPr>
  </w:style>
  <w:style w:type="paragraph" w:customStyle="1" w:styleId="Basiccopysl">
    <w:name w:val="Basic copy_sl"/>
    <w:basedOn w:val="Normal"/>
    <w:link w:val="BasiccopyslChar"/>
    <w:qFormat/>
    <w:rsid w:val="00317735"/>
    <w:pPr>
      <w:spacing w:after="120"/>
    </w:pPr>
    <w:rPr>
      <w:rFonts w:ascii="Garamond" w:hAnsi="Garamond"/>
    </w:rPr>
  </w:style>
  <w:style w:type="character" w:customStyle="1" w:styleId="Subhead2slChar">
    <w:name w:val="Subhead 2_sl Char"/>
    <w:basedOn w:val="DefaultParagraphFont"/>
    <w:link w:val="Subhead2sl"/>
    <w:rsid w:val="000A1830"/>
    <w:rPr>
      <w:rFonts w:ascii="Gill Sans MT" w:hAnsi="Gill Sans MT"/>
      <w:b/>
      <w:i/>
      <w:sz w:val="24"/>
      <w:szCs w:val="24"/>
    </w:rPr>
  </w:style>
  <w:style w:type="paragraph" w:customStyle="1" w:styleId="Bulletsl">
    <w:name w:val="Bullet_sl"/>
    <w:basedOn w:val="Normal"/>
    <w:link w:val="BulletslChar"/>
    <w:qFormat/>
    <w:rsid w:val="00317735"/>
    <w:pPr>
      <w:numPr>
        <w:numId w:val="1"/>
      </w:numPr>
      <w:spacing w:after="120"/>
    </w:pPr>
    <w:rPr>
      <w:rFonts w:ascii="Garamond" w:hAnsi="Garamond"/>
    </w:rPr>
  </w:style>
  <w:style w:type="character" w:customStyle="1" w:styleId="BasiccopyslChar">
    <w:name w:val="Basic copy_sl Char"/>
    <w:basedOn w:val="DefaultParagraphFont"/>
    <w:link w:val="Basiccopysl"/>
    <w:rsid w:val="00317735"/>
    <w:rPr>
      <w:rFonts w:ascii="Garamond" w:hAnsi="Garamond"/>
      <w:sz w:val="24"/>
      <w:szCs w:val="24"/>
    </w:rPr>
  </w:style>
  <w:style w:type="paragraph" w:customStyle="1" w:styleId="Numberedlistsl">
    <w:name w:val="Numbered list_sl"/>
    <w:basedOn w:val="Normal"/>
    <w:link w:val="NumberedlistslChar"/>
    <w:qFormat/>
    <w:rsid w:val="00317735"/>
    <w:pPr>
      <w:numPr>
        <w:numId w:val="2"/>
      </w:numPr>
      <w:spacing w:after="120"/>
      <w:ind w:left="720"/>
    </w:pPr>
    <w:rPr>
      <w:rFonts w:ascii="Garamond" w:hAnsi="Garamond"/>
    </w:rPr>
  </w:style>
  <w:style w:type="character" w:customStyle="1" w:styleId="BulletslChar">
    <w:name w:val="Bullet_sl Char"/>
    <w:basedOn w:val="DefaultParagraphFont"/>
    <w:link w:val="Bulletsl"/>
    <w:rsid w:val="00317735"/>
    <w:rPr>
      <w:rFonts w:ascii="Garamond" w:hAnsi="Garamond"/>
      <w:sz w:val="24"/>
      <w:szCs w:val="24"/>
    </w:rPr>
  </w:style>
  <w:style w:type="paragraph" w:customStyle="1" w:styleId="Sub-bulletsl">
    <w:name w:val="Sub-bullet_sl"/>
    <w:basedOn w:val="Bulletsl"/>
    <w:link w:val="Sub-bulletslChar"/>
    <w:qFormat/>
    <w:rsid w:val="00317735"/>
    <w:pPr>
      <w:numPr>
        <w:ilvl w:val="1"/>
        <w:numId w:val="4"/>
      </w:numPr>
    </w:pPr>
  </w:style>
  <w:style w:type="character" w:customStyle="1" w:styleId="NumberedlistslChar">
    <w:name w:val="Numbered list_sl Char"/>
    <w:basedOn w:val="DefaultParagraphFont"/>
    <w:link w:val="Numberedlistsl"/>
    <w:rsid w:val="00317735"/>
    <w:rPr>
      <w:rFonts w:ascii="Garamond" w:hAnsi="Garamond"/>
      <w:sz w:val="24"/>
      <w:szCs w:val="24"/>
    </w:rPr>
  </w:style>
  <w:style w:type="character" w:customStyle="1" w:styleId="Sub-bulletslChar">
    <w:name w:val="Sub-bullet_sl Char"/>
    <w:basedOn w:val="BulletslChar"/>
    <w:link w:val="Sub-bulletsl"/>
    <w:rsid w:val="00317735"/>
    <w:rPr>
      <w:rFonts w:ascii="Garamond" w:hAnsi="Garamond"/>
      <w:sz w:val="24"/>
      <w:szCs w:val="24"/>
    </w:rPr>
  </w:style>
  <w:style w:type="paragraph" w:customStyle="1" w:styleId="Outlinelevel2">
    <w:name w:val="Outline level 2"/>
    <w:basedOn w:val="Normal"/>
    <w:link w:val="Outlinelevel2Char"/>
    <w:qFormat/>
    <w:rsid w:val="00317735"/>
    <w:pPr>
      <w:numPr>
        <w:ilvl w:val="1"/>
        <w:numId w:val="5"/>
      </w:numPr>
      <w:spacing w:after="120"/>
      <w:ind w:left="1260"/>
    </w:pPr>
    <w:rPr>
      <w:rFonts w:ascii="Garamond" w:hAnsi="Garamond"/>
    </w:rPr>
  </w:style>
  <w:style w:type="paragraph" w:customStyle="1" w:styleId="Outlinelevel3">
    <w:name w:val="Outline level 3"/>
    <w:basedOn w:val="Normal"/>
    <w:link w:val="Outlinelevel3Char"/>
    <w:qFormat/>
    <w:rsid w:val="00317735"/>
    <w:pPr>
      <w:numPr>
        <w:ilvl w:val="2"/>
        <w:numId w:val="5"/>
      </w:numPr>
      <w:tabs>
        <w:tab w:val="left" w:pos="1800"/>
      </w:tabs>
      <w:spacing w:after="120"/>
      <w:ind w:left="1800" w:hanging="360"/>
    </w:pPr>
    <w:rPr>
      <w:rFonts w:ascii="Garamond" w:hAnsi="Garamond"/>
    </w:rPr>
  </w:style>
  <w:style w:type="character" w:customStyle="1" w:styleId="Outlinelevel2Char">
    <w:name w:val="Outline level 2 Char"/>
    <w:basedOn w:val="DefaultParagraphFont"/>
    <w:link w:val="Outlinelevel2"/>
    <w:rsid w:val="00317735"/>
    <w:rPr>
      <w:rFonts w:ascii="Garamond" w:hAnsi="Garamond"/>
      <w:sz w:val="24"/>
      <w:szCs w:val="24"/>
    </w:rPr>
  </w:style>
  <w:style w:type="paragraph" w:customStyle="1" w:styleId="Outlinelevel4">
    <w:name w:val="Outline level 4"/>
    <w:basedOn w:val="Normal"/>
    <w:link w:val="Outlinelevel4Char"/>
    <w:qFormat/>
    <w:rsid w:val="002C68A3"/>
    <w:pPr>
      <w:numPr>
        <w:ilvl w:val="3"/>
        <w:numId w:val="5"/>
      </w:numPr>
      <w:spacing w:after="120"/>
    </w:pPr>
    <w:rPr>
      <w:rFonts w:ascii="Garamond" w:hAnsi="Garamond"/>
    </w:rPr>
  </w:style>
  <w:style w:type="character" w:customStyle="1" w:styleId="Outlinelevel3Char">
    <w:name w:val="Outline level 3 Char"/>
    <w:basedOn w:val="DefaultParagraphFont"/>
    <w:link w:val="Outlinelevel3"/>
    <w:rsid w:val="00317735"/>
    <w:rPr>
      <w:rFonts w:ascii="Garamond" w:hAnsi="Garamond"/>
      <w:sz w:val="24"/>
      <w:szCs w:val="24"/>
    </w:rPr>
  </w:style>
  <w:style w:type="paragraph" w:customStyle="1" w:styleId="Outlinelevel1">
    <w:name w:val="Outline level 1"/>
    <w:basedOn w:val="Normal"/>
    <w:link w:val="Outlinelevel1Char"/>
    <w:qFormat/>
    <w:rsid w:val="00375090"/>
    <w:pPr>
      <w:numPr>
        <w:numId w:val="6"/>
      </w:numPr>
      <w:spacing w:after="120"/>
      <w:ind w:left="900" w:hanging="540"/>
    </w:pPr>
    <w:rPr>
      <w:rFonts w:ascii="Garamond" w:hAnsi="Garamond"/>
      <w:b/>
    </w:rPr>
  </w:style>
  <w:style w:type="character" w:customStyle="1" w:styleId="Outlinelevel4Char">
    <w:name w:val="Outline level 4 Char"/>
    <w:basedOn w:val="DefaultParagraphFont"/>
    <w:link w:val="Outlinelevel4"/>
    <w:rsid w:val="002C68A3"/>
    <w:rPr>
      <w:rFonts w:ascii="Garamond" w:hAnsi="Garamond"/>
      <w:sz w:val="24"/>
      <w:szCs w:val="24"/>
    </w:rPr>
  </w:style>
  <w:style w:type="character" w:customStyle="1" w:styleId="Outlinelevel1Char">
    <w:name w:val="Outline level 1 Char"/>
    <w:basedOn w:val="DefaultParagraphFont"/>
    <w:link w:val="Outlinelevel1"/>
    <w:rsid w:val="00375090"/>
    <w:rPr>
      <w:rFonts w:ascii="Garamond" w:hAnsi="Garamond"/>
      <w:b/>
      <w:sz w:val="24"/>
      <w:szCs w:val="24"/>
    </w:rPr>
  </w:style>
  <w:style w:type="character" w:styleId="Hyperlink">
    <w:name w:val="Hyperlink"/>
    <w:basedOn w:val="DefaultParagraphFont"/>
    <w:uiPriority w:val="99"/>
    <w:unhideWhenUsed/>
    <w:qFormat/>
    <w:rsid w:val="00170B98"/>
    <w:rPr>
      <w:rFonts w:ascii="Garamond" w:hAnsi="Garamond"/>
      <w:color w:val="0000FF"/>
      <w:sz w:val="24"/>
      <w:u w:val="single"/>
    </w:rPr>
  </w:style>
  <w:style w:type="paragraph" w:customStyle="1" w:styleId="Hyperlinksl">
    <w:name w:val="Hyperlink_sl"/>
    <w:basedOn w:val="Normal"/>
    <w:link w:val="HyperlinkslChar"/>
    <w:rsid w:val="00317735"/>
    <w:pPr>
      <w:spacing w:after="120"/>
    </w:pPr>
  </w:style>
  <w:style w:type="character" w:styleId="FollowedHyperlink">
    <w:name w:val="FollowedHyperlink"/>
    <w:basedOn w:val="DefaultParagraphFont"/>
    <w:uiPriority w:val="99"/>
    <w:semiHidden/>
    <w:unhideWhenUsed/>
    <w:rsid w:val="00170B98"/>
    <w:rPr>
      <w:color w:val="800080" w:themeColor="followedHyperlink"/>
      <w:u w:val="single"/>
    </w:rPr>
  </w:style>
  <w:style w:type="character" w:customStyle="1" w:styleId="HyperlinkslChar">
    <w:name w:val="Hyperlink_sl Char"/>
    <w:basedOn w:val="DefaultParagraphFont"/>
    <w:link w:val="Hyperlinksl"/>
    <w:rsid w:val="00317735"/>
    <w:rPr>
      <w:szCs w:val="24"/>
    </w:rPr>
  </w:style>
  <w:style w:type="paragraph" w:styleId="Header">
    <w:name w:val="header"/>
    <w:basedOn w:val="Normal"/>
    <w:link w:val="HeaderChar"/>
    <w:uiPriority w:val="99"/>
    <w:unhideWhenUsed/>
    <w:rsid w:val="0078549D"/>
    <w:pPr>
      <w:tabs>
        <w:tab w:val="center" w:pos="4680"/>
        <w:tab w:val="right" w:pos="9360"/>
      </w:tabs>
    </w:pPr>
  </w:style>
  <w:style w:type="character" w:customStyle="1" w:styleId="HeaderChar">
    <w:name w:val="Header Char"/>
    <w:basedOn w:val="DefaultParagraphFont"/>
    <w:link w:val="Header"/>
    <w:uiPriority w:val="99"/>
    <w:rsid w:val="0078549D"/>
  </w:style>
  <w:style w:type="paragraph" w:styleId="Footer">
    <w:name w:val="footer"/>
    <w:basedOn w:val="Normal"/>
    <w:link w:val="FooterChar"/>
    <w:uiPriority w:val="99"/>
    <w:unhideWhenUsed/>
    <w:rsid w:val="0078549D"/>
    <w:pPr>
      <w:tabs>
        <w:tab w:val="center" w:pos="4680"/>
        <w:tab w:val="right" w:pos="9360"/>
      </w:tabs>
    </w:pPr>
  </w:style>
  <w:style w:type="character" w:customStyle="1" w:styleId="FooterChar">
    <w:name w:val="Footer Char"/>
    <w:basedOn w:val="DefaultParagraphFont"/>
    <w:link w:val="Footer"/>
    <w:uiPriority w:val="99"/>
    <w:rsid w:val="0078549D"/>
  </w:style>
  <w:style w:type="paragraph" w:styleId="BalloonText">
    <w:name w:val="Balloon Text"/>
    <w:basedOn w:val="Normal"/>
    <w:link w:val="BalloonTextChar"/>
    <w:uiPriority w:val="99"/>
    <w:semiHidden/>
    <w:unhideWhenUsed/>
    <w:rsid w:val="0078549D"/>
    <w:rPr>
      <w:rFonts w:ascii="Tahoma" w:hAnsi="Tahoma" w:cs="Tahoma"/>
      <w:sz w:val="16"/>
      <w:szCs w:val="16"/>
    </w:rPr>
  </w:style>
  <w:style w:type="character" w:customStyle="1" w:styleId="BalloonTextChar">
    <w:name w:val="Balloon Text Char"/>
    <w:basedOn w:val="DefaultParagraphFont"/>
    <w:link w:val="BalloonText"/>
    <w:uiPriority w:val="99"/>
    <w:semiHidden/>
    <w:rsid w:val="0078549D"/>
    <w:rPr>
      <w:rFonts w:ascii="Tahoma" w:hAnsi="Tahoma" w:cs="Tahoma"/>
      <w:sz w:val="16"/>
      <w:szCs w:val="16"/>
    </w:rPr>
  </w:style>
  <w:style w:type="paragraph" w:customStyle="1" w:styleId="Title3sl">
    <w:name w:val="Title 3_sl"/>
    <w:basedOn w:val="Subhead1sl"/>
    <w:link w:val="Title3slChar"/>
    <w:qFormat/>
    <w:rsid w:val="00375090"/>
    <w:pPr>
      <w:spacing w:after="240"/>
    </w:pPr>
    <w:rPr>
      <w:rFonts w:ascii="Garamond" w:hAnsi="Garamond"/>
      <w:sz w:val="36"/>
      <w:szCs w:val="36"/>
    </w:rPr>
  </w:style>
  <w:style w:type="paragraph" w:customStyle="1" w:styleId="Subhead3sl">
    <w:name w:val="Subhead 3_sl"/>
    <w:basedOn w:val="Basiccopysl"/>
    <w:link w:val="Subhead3slChar"/>
    <w:qFormat/>
    <w:rsid w:val="00375090"/>
    <w:pPr>
      <w:spacing w:before="360"/>
    </w:pPr>
    <w:rPr>
      <w:b/>
    </w:rPr>
  </w:style>
  <w:style w:type="character" w:customStyle="1" w:styleId="Title3slChar">
    <w:name w:val="Title 3_sl Char"/>
    <w:basedOn w:val="Subhead1slChar"/>
    <w:link w:val="Title3sl"/>
    <w:rsid w:val="00375090"/>
    <w:rPr>
      <w:rFonts w:ascii="Garamond" w:hAnsi="Garamond"/>
      <w:b/>
      <w:sz w:val="36"/>
      <w:szCs w:val="36"/>
    </w:rPr>
  </w:style>
  <w:style w:type="character" w:customStyle="1" w:styleId="Subhead3slChar">
    <w:name w:val="Subhead 3_sl Char"/>
    <w:basedOn w:val="BasiccopyslChar"/>
    <w:link w:val="Subhead3sl"/>
    <w:rsid w:val="00375090"/>
    <w:rPr>
      <w:rFonts w:ascii="Garamond" w:hAnsi="Garamond"/>
      <w:b/>
      <w:sz w:val="24"/>
      <w:szCs w:val="24"/>
    </w:rPr>
  </w:style>
  <w:style w:type="paragraph" w:styleId="ListParagraph">
    <w:name w:val="List Paragraph"/>
    <w:basedOn w:val="Normal"/>
    <w:uiPriority w:val="99"/>
    <w:qFormat/>
    <w:rsid w:val="001D03B0"/>
    <w:pPr>
      <w:ind w:left="720"/>
      <w:contextualSpacing/>
    </w:pPr>
  </w:style>
  <w:style w:type="paragraph" w:customStyle="1" w:styleId="Basiccopyindentedsl">
    <w:name w:val="Basic copy_indented_sl"/>
    <w:basedOn w:val="Basiccopysl"/>
    <w:qFormat/>
    <w:rsid w:val="000A1830"/>
    <w:pPr>
      <w:ind w:left="720"/>
    </w:pPr>
  </w:style>
  <w:style w:type="paragraph" w:customStyle="1" w:styleId="Basiccopycenteredsl">
    <w:name w:val="Basic copy_centered_sl"/>
    <w:basedOn w:val="Basiccopysl"/>
    <w:qFormat/>
    <w:rsid w:val="000A1830"/>
    <w:pPr>
      <w:jc w:val="center"/>
    </w:pPr>
    <w:rPr>
      <w:b/>
    </w:rPr>
  </w:style>
  <w:style w:type="character" w:customStyle="1" w:styleId="Heading2Char">
    <w:name w:val="Heading 2 Char"/>
    <w:basedOn w:val="DefaultParagraphFont"/>
    <w:link w:val="Heading2"/>
    <w:rsid w:val="00374A60"/>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843682"/>
    <w:rPr>
      <w:sz w:val="16"/>
      <w:szCs w:val="16"/>
    </w:rPr>
  </w:style>
  <w:style w:type="paragraph" w:styleId="CommentText">
    <w:name w:val="annotation text"/>
    <w:basedOn w:val="Normal"/>
    <w:link w:val="CommentTextChar"/>
    <w:uiPriority w:val="99"/>
    <w:semiHidden/>
    <w:unhideWhenUsed/>
    <w:rsid w:val="00843682"/>
    <w:rPr>
      <w:sz w:val="20"/>
      <w:szCs w:val="20"/>
    </w:rPr>
  </w:style>
  <w:style w:type="character" w:customStyle="1" w:styleId="CommentTextChar">
    <w:name w:val="Comment Text Char"/>
    <w:basedOn w:val="DefaultParagraphFont"/>
    <w:link w:val="CommentText"/>
    <w:uiPriority w:val="99"/>
    <w:semiHidden/>
    <w:rsid w:val="008436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43682"/>
    <w:rPr>
      <w:b/>
      <w:bCs/>
    </w:rPr>
  </w:style>
  <w:style w:type="character" w:customStyle="1" w:styleId="CommentSubjectChar">
    <w:name w:val="Comment Subject Char"/>
    <w:basedOn w:val="CommentTextChar"/>
    <w:link w:val="CommentSubject"/>
    <w:uiPriority w:val="99"/>
    <w:semiHidden/>
    <w:rsid w:val="0084368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751140">
      <w:bodyDiv w:val="1"/>
      <w:marLeft w:val="0"/>
      <w:marRight w:val="0"/>
      <w:marTop w:val="0"/>
      <w:marBottom w:val="0"/>
      <w:divBdr>
        <w:top w:val="none" w:sz="0" w:space="0" w:color="auto"/>
        <w:left w:val="none" w:sz="0" w:space="0" w:color="auto"/>
        <w:bottom w:val="none" w:sz="0" w:space="0" w:color="auto"/>
        <w:right w:val="none" w:sz="0" w:space="0" w:color="auto"/>
      </w:divBdr>
      <w:divsChild>
        <w:div w:id="1789205138">
          <w:marLeft w:val="0"/>
          <w:marRight w:val="0"/>
          <w:marTop w:val="0"/>
          <w:marBottom w:val="0"/>
          <w:divBdr>
            <w:top w:val="none" w:sz="0" w:space="0" w:color="auto"/>
            <w:left w:val="none" w:sz="0" w:space="0" w:color="auto"/>
            <w:bottom w:val="none" w:sz="0" w:space="0" w:color="auto"/>
            <w:right w:val="none" w:sz="0" w:space="0" w:color="auto"/>
          </w:divBdr>
          <w:divsChild>
            <w:div w:id="1746368867">
              <w:marLeft w:val="0"/>
              <w:marRight w:val="0"/>
              <w:marTop w:val="0"/>
              <w:marBottom w:val="0"/>
              <w:divBdr>
                <w:top w:val="none" w:sz="0" w:space="0" w:color="auto"/>
                <w:left w:val="none" w:sz="0" w:space="0" w:color="auto"/>
                <w:bottom w:val="none" w:sz="0" w:space="0" w:color="auto"/>
                <w:right w:val="none" w:sz="0" w:space="0" w:color="auto"/>
              </w:divBdr>
              <w:divsChild>
                <w:div w:id="11880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1587</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Allison Hawkins</dc:creator>
  <cp:lastModifiedBy>Brad Faulhaber</cp:lastModifiedBy>
  <cp:revision>2</cp:revision>
  <cp:lastPrinted>2014-10-23T16:09:00Z</cp:lastPrinted>
  <dcterms:created xsi:type="dcterms:W3CDTF">2020-03-02T16:35:00Z</dcterms:created>
  <dcterms:modified xsi:type="dcterms:W3CDTF">2020-03-02T16:35:00Z</dcterms:modified>
</cp:coreProperties>
</file>